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657" w:rsidRPr="0018349D" w:rsidRDefault="0018349D" w:rsidP="0018349D">
      <w:pPr>
        <w:spacing w:after="0"/>
        <w:jc w:val="center"/>
        <w:rPr>
          <w:b/>
          <w:color w:val="0070C0"/>
          <w:sz w:val="24"/>
          <w:u w:val="single"/>
        </w:rPr>
      </w:pPr>
      <w:r w:rsidRPr="0018349D">
        <w:rPr>
          <w:b/>
          <w:color w:val="0070C0"/>
          <w:sz w:val="24"/>
          <w:u w:val="single"/>
        </w:rPr>
        <w:t>TP 2 – Le tissu glandulaire</w:t>
      </w:r>
    </w:p>
    <w:p w:rsidR="0018349D" w:rsidRPr="00FD3C04" w:rsidRDefault="00FD3C04" w:rsidP="00FD3C04">
      <w:pPr>
        <w:pStyle w:val="Paragraphedeliste"/>
        <w:numPr>
          <w:ilvl w:val="0"/>
          <w:numId w:val="4"/>
        </w:numPr>
        <w:spacing w:after="0"/>
        <w:rPr>
          <w:color w:val="000000" w:themeColor="text1"/>
        </w:rPr>
      </w:pPr>
      <w:r w:rsidRPr="00FD3C04">
        <w:rPr>
          <w:color w:val="000000" w:themeColor="text1"/>
        </w:rPr>
        <w:t>types de tissu épithélial glandulaire :</w:t>
      </w:r>
    </w:p>
    <w:p w:rsidR="00B42C24" w:rsidRDefault="00A50EE2" w:rsidP="00FD3C04">
      <w:pPr>
        <w:pStyle w:val="Paragraphedeliste"/>
        <w:numPr>
          <w:ilvl w:val="0"/>
          <w:numId w:val="5"/>
        </w:numPr>
        <w:spacing w:after="0"/>
        <w:rPr>
          <w:color w:val="000000" w:themeColor="text1"/>
        </w:rPr>
      </w:pPr>
      <w:r>
        <w:rPr>
          <w:color w:val="000000" w:themeColor="text1"/>
        </w:rPr>
        <w:t>Exocrine</w:t>
      </w:r>
    </w:p>
    <w:p w:rsidR="00A50EE2" w:rsidRDefault="00A50EE2" w:rsidP="00FD3C04">
      <w:pPr>
        <w:pStyle w:val="Paragraphedeliste"/>
        <w:numPr>
          <w:ilvl w:val="0"/>
          <w:numId w:val="5"/>
        </w:numPr>
        <w:spacing w:after="0"/>
        <w:rPr>
          <w:color w:val="000000" w:themeColor="text1"/>
        </w:rPr>
      </w:pPr>
      <w:r>
        <w:rPr>
          <w:color w:val="000000" w:themeColor="text1"/>
        </w:rPr>
        <w:t>Endocrine</w:t>
      </w:r>
    </w:p>
    <w:p w:rsidR="00A50EE2" w:rsidRDefault="00A50EE2" w:rsidP="00FD3C04">
      <w:pPr>
        <w:pStyle w:val="Paragraphedeliste"/>
        <w:numPr>
          <w:ilvl w:val="0"/>
          <w:numId w:val="5"/>
        </w:numPr>
        <w:spacing w:after="0"/>
        <w:rPr>
          <w:color w:val="000000" w:themeColor="text1"/>
        </w:rPr>
      </w:pPr>
      <w:r>
        <w:rPr>
          <w:color w:val="000000" w:themeColor="text1"/>
        </w:rPr>
        <w:t>Mixte</w:t>
      </w:r>
    </w:p>
    <w:p w:rsidR="00A50EE2" w:rsidRDefault="00A50EE2" w:rsidP="00A50EE2">
      <w:pPr>
        <w:spacing w:after="0"/>
        <w:rPr>
          <w:color w:val="000000" w:themeColor="text1"/>
        </w:rPr>
      </w:pPr>
    </w:p>
    <w:p w:rsidR="00A50EE2" w:rsidRDefault="00A50EE2" w:rsidP="00A50EE2">
      <w:pPr>
        <w:spacing w:after="0"/>
        <w:rPr>
          <w:color w:val="000000" w:themeColor="text1"/>
        </w:rPr>
      </w:pPr>
      <w:r>
        <w:rPr>
          <w:color w:val="000000" w:themeColor="text1"/>
        </w:rPr>
        <w:t xml:space="preserve">Les épithéliums glandulaires sont des épithéliums composés de cellules qui élaborent une substance dénommée produit de sécrétion, </w:t>
      </w:r>
      <w:r w:rsidR="00A35697">
        <w:rPr>
          <w:color w:val="000000" w:themeColor="text1"/>
        </w:rPr>
        <w:t>il est excrété à la surface du corps (épiderme), ou dans une cavité du corps en communication avec l’extérieur par l’intermédiaire d’</w:t>
      </w:r>
      <w:r w:rsidR="0003007C">
        <w:rPr>
          <w:color w:val="000000" w:themeColor="text1"/>
        </w:rPr>
        <w:t>un canal excréteur (glande exocrine).</w:t>
      </w:r>
    </w:p>
    <w:p w:rsidR="0003007C" w:rsidRDefault="0003007C" w:rsidP="00A50EE2">
      <w:pPr>
        <w:spacing w:after="0"/>
        <w:rPr>
          <w:color w:val="000000" w:themeColor="text1"/>
        </w:rPr>
      </w:pPr>
      <w:r>
        <w:rPr>
          <w:color w:val="000000" w:themeColor="text1"/>
        </w:rPr>
        <w:t>Si le produit est excrété dans la circulation sanguine, on parle de glande endocrine.</w:t>
      </w:r>
    </w:p>
    <w:p w:rsidR="0003007C" w:rsidRDefault="0003007C" w:rsidP="00A50EE2">
      <w:pPr>
        <w:spacing w:after="0"/>
        <w:rPr>
          <w:color w:val="000000" w:themeColor="text1"/>
        </w:rPr>
      </w:pPr>
      <w:r>
        <w:rPr>
          <w:color w:val="000000" w:themeColor="text1"/>
        </w:rPr>
        <w:t>Le foie ou le pancréas, l’ovaire ou le testicule sont quelques exemples de glande mixte (sécrétion exocrine et endocrine).</w:t>
      </w:r>
    </w:p>
    <w:p w:rsidR="0003007C" w:rsidRDefault="00E06F8A" w:rsidP="00A50EE2">
      <w:pPr>
        <w:spacing w:after="0"/>
        <w:rPr>
          <w:color w:val="000000" w:themeColor="text1"/>
        </w:rPr>
      </w:pPr>
      <w:r>
        <w:rPr>
          <w:color w:val="000000" w:themeColor="text1"/>
        </w:rPr>
        <w:t>Les critères utilisés pour classification des glandes exocrines sont :</w:t>
      </w:r>
    </w:p>
    <w:p w:rsidR="00E06F8A" w:rsidRDefault="005F0C4F" w:rsidP="003D2D33">
      <w:pPr>
        <w:pStyle w:val="Paragraphedeliste"/>
        <w:numPr>
          <w:ilvl w:val="0"/>
          <w:numId w:val="6"/>
        </w:numPr>
        <w:spacing w:after="0"/>
        <w:rPr>
          <w:color w:val="000000" w:themeColor="text1"/>
        </w:rPr>
      </w:pPr>
      <w:r>
        <w:rPr>
          <w:color w:val="000000" w:themeColor="text1"/>
        </w:rPr>
        <w:t>Localisation des glandes</w:t>
      </w:r>
    </w:p>
    <w:p w:rsidR="005F0C4F" w:rsidRDefault="005F0C4F" w:rsidP="003D2D33">
      <w:pPr>
        <w:pStyle w:val="Paragraphedeliste"/>
        <w:numPr>
          <w:ilvl w:val="0"/>
          <w:numId w:val="6"/>
        </w:numPr>
        <w:spacing w:after="0"/>
        <w:rPr>
          <w:color w:val="000000" w:themeColor="text1"/>
        </w:rPr>
      </w:pPr>
      <w:r w:rsidRPr="003D2D33">
        <w:rPr>
          <w:color w:val="000000" w:themeColor="text1"/>
        </w:rPr>
        <w:t>Modalité de sécrétion des cellules glandulaires</w:t>
      </w:r>
    </w:p>
    <w:p w:rsidR="002E22B6" w:rsidRDefault="002E22B6" w:rsidP="003D2D33">
      <w:pPr>
        <w:pStyle w:val="Paragraphedeliste"/>
        <w:numPr>
          <w:ilvl w:val="0"/>
          <w:numId w:val="6"/>
        </w:numPr>
        <w:spacing w:after="0"/>
        <w:rPr>
          <w:color w:val="000000" w:themeColor="text1"/>
        </w:rPr>
      </w:pPr>
      <w:r w:rsidRPr="003D2D33">
        <w:rPr>
          <w:color w:val="000000" w:themeColor="text1"/>
        </w:rPr>
        <w:t>Nature du produit de sécrétion</w:t>
      </w:r>
    </w:p>
    <w:p w:rsidR="002E22B6" w:rsidRDefault="00C70309" w:rsidP="003D2D33">
      <w:pPr>
        <w:pStyle w:val="Paragraphedeliste"/>
        <w:numPr>
          <w:ilvl w:val="0"/>
          <w:numId w:val="6"/>
        </w:numPr>
        <w:spacing w:after="0"/>
        <w:rPr>
          <w:color w:val="000000" w:themeColor="text1"/>
        </w:rPr>
      </w:pPr>
      <w:r w:rsidRPr="003D2D33">
        <w:rPr>
          <w:color w:val="000000" w:themeColor="text1"/>
        </w:rPr>
        <w:t>Forme de l’adénomère (partie sécrétrice)</w:t>
      </w:r>
    </w:p>
    <w:p w:rsidR="00C70309" w:rsidRPr="003D2D33" w:rsidRDefault="005F5C77" w:rsidP="003D2D33">
      <w:pPr>
        <w:pStyle w:val="Paragraphedeliste"/>
        <w:numPr>
          <w:ilvl w:val="0"/>
          <w:numId w:val="6"/>
        </w:numPr>
        <w:spacing w:after="0"/>
        <w:rPr>
          <w:color w:val="000000" w:themeColor="text1"/>
        </w:rPr>
      </w:pPr>
      <w:r w:rsidRPr="003D2D33">
        <w:rPr>
          <w:color w:val="000000" w:themeColor="text1"/>
        </w:rPr>
        <w:t>Morphologie du canal excréteur</w:t>
      </w:r>
    </w:p>
    <w:p w:rsidR="005F5C77" w:rsidRDefault="005F5C77" w:rsidP="00B504D9">
      <w:pPr>
        <w:spacing w:after="0"/>
        <w:rPr>
          <w:color w:val="000000" w:themeColor="text1"/>
        </w:rPr>
      </w:pPr>
    </w:p>
    <w:p w:rsidR="00B504D9" w:rsidRDefault="00B504D9" w:rsidP="003D2D33">
      <w:pPr>
        <w:pStyle w:val="Paragraphedeliste"/>
        <w:numPr>
          <w:ilvl w:val="0"/>
          <w:numId w:val="7"/>
        </w:numPr>
        <w:spacing w:after="0"/>
        <w:rPr>
          <w:color w:val="000000" w:themeColor="text1"/>
        </w:rPr>
      </w:pPr>
      <w:r>
        <w:rPr>
          <w:color w:val="000000" w:themeColor="text1"/>
        </w:rPr>
        <w:t>D’après la localisation</w:t>
      </w:r>
    </w:p>
    <w:p w:rsidR="00B504D9" w:rsidRDefault="00B504D9" w:rsidP="00B504D9">
      <w:pPr>
        <w:pStyle w:val="Paragraphedeliste"/>
        <w:numPr>
          <w:ilvl w:val="0"/>
          <w:numId w:val="2"/>
        </w:numPr>
        <w:spacing w:after="0"/>
        <w:rPr>
          <w:color w:val="000000" w:themeColor="text1"/>
        </w:rPr>
      </w:pPr>
      <w:r>
        <w:rPr>
          <w:color w:val="000000" w:themeColor="text1"/>
        </w:rPr>
        <w:t xml:space="preserve">Glande </w:t>
      </w:r>
      <w:r w:rsidR="00BD6DE3">
        <w:rPr>
          <w:color w:val="000000" w:themeColor="text1"/>
        </w:rPr>
        <w:t>intra-</w:t>
      </w:r>
      <w:r>
        <w:rPr>
          <w:color w:val="000000" w:themeColor="text1"/>
        </w:rPr>
        <w:t>épithéliale unicellulaire (cellules caliciformes)</w:t>
      </w:r>
    </w:p>
    <w:p w:rsidR="00BD6DE3" w:rsidRDefault="00BD6DE3" w:rsidP="00B504D9">
      <w:pPr>
        <w:pStyle w:val="Paragraphedeliste"/>
        <w:numPr>
          <w:ilvl w:val="0"/>
          <w:numId w:val="2"/>
        </w:numPr>
        <w:spacing w:after="0"/>
        <w:rPr>
          <w:color w:val="000000" w:themeColor="text1"/>
        </w:rPr>
      </w:pPr>
      <w:r>
        <w:rPr>
          <w:color w:val="000000" w:themeColor="text1"/>
        </w:rPr>
        <w:t>Glande intra-épithéliale pluricellulaire</w:t>
      </w:r>
      <w:r w:rsidR="0045184A">
        <w:rPr>
          <w:color w:val="000000" w:themeColor="text1"/>
        </w:rPr>
        <w:t xml:space="preserve"> (glandes nasales)</w:t>
      </w:r>
    </w:p>
    <w:p w:rsidR="00FC656A" w:rsidRDefault="00FC656A" w:rsidP="00B504D9">
      <w:pPr>
        <w:pStyle w:val="Paragraphedeliste"/>
        <w:numPr>
          <w:ilvl w:val="0"/>
          <w:numId w:val="2"/>
        </w:numPr>
        <w:spacing w:after="0"/>
        <w:rPr>
          <w:color w:val="000000" w:themeColor="text1"/>
        </w:rPr>
      </w:pPr>
      <w:r>
        <w:rPr>
          <w:color w:val="000000" w:themeColor="text1"/>
        </w:rPr>
        <w:t>Glande extra-épithéliale, intra-pariétale (glande gastrique)</w:t>
      </w:r>
    </w:p>
    <w:p w:rsidR="00FC656A" w:rsidRDefault="00FC656A" w:rsidP="00B504D9">
      <w:pPr>
        <w:pStyle w:val="Paragraphedeliste"/>
        <w:numPr>
          <w:ilvl w:val="0"/>
          <w:numId w:val="2"/>
        </w:numPr>
        <w:spacing w:after="0"/>
        <w:rPr>
          <w:color w:val="000000" w:themeColor="text1"/>
        </w:rPr>
      </w:pPr>
      <w:r>
        <w:rPr>
          <w:color w:val="000000" w:themeColor="text1"/>
        </w:rPr>
        <w:t>Glande extra-épithéliale, extra-pariétale (pancréas)</w:t>
      </w:r>
    </w:p>
    <w:p w:rsidR="00FC656A" w:rsidRDefault="00FC656A" w:rsidP="008017A8">
      <w:pPr>
        <w:spacing w:after="0"/>
        <w:rPr>
          <w:color w:val="000000" w:themeColor="text1"/>
        </w:rPr>
      </w:pPr>
    </w:p>
    <w:p w:rsidR="008017A8" w:rsidRDefault="008017A8" w:rsidP="003D2D33">
      <w:pPr>
        <w:pStyle w:val="Paragraphedeliste"/>
        <w:numPr>
          <w:ilvl w:val="0"/>
          <w:numId w:val="7"/>
        </w:numPr>
        <w:spacing w:after="0"/>
        <w:rPr>
          <w:color w:val="000000" w:themeColor="text1"/>
        </w:rPr>
      </w:pPr>
      <w:r>
        <w:rPr>
          <w:color w:val="000000" w:themeColor="text1"/>
        </w:rPr>
        <w:t>D’après la modalité de sécrétion</w:t>
      </w:r>
    </w:p>
    <w:p w:rsidR="008017A8" w:rsidRDefault="00A30B2D" w:rsidP="008017A8">
      <w:pPr>
        <w:pStyle w:val="Paragraphedeliste"/>
        <w:numPr>
          <w:ilvl w:val="0"/>
          <w:numId w:val="2"/>
        </w:numPr>
        <w:spacing w:after="0"/>
        <w:rPr>
          <w:color w:val="000000" w:themeColor="text1"/>
        </w:rPr>
      </w:pPr>
      <w:r>
        <w:rPr>
          <w:color w:val="000000" w:themeColor="text1"/>
        </w:rPr>
        <w:t>L’excrétion mérocrine (parotide et glande mammaire)</w:t>
      </w:r>
    </w:p>
    <w:p w:rsidR="00A30B2D" w:rsidRDefault="00A30B2D" w:rsidP="008017A8">
      <w:pPr>
        <w:pStyle w:val="Paragraphedeliste"/>
        <w:numPr>
          <w:ilvl w:val="0"/>
          <w:numId w:val="2"/>
        </w:numPr>
        <w:spacing w:after="0"/>
        <w:rPr>
          <w:color w:val="000000" w:themeColor="text1"/>
        </w:rPr>
      </w:pPr>
      <w:r>
        <w:rPr>
          <w:color w:val="000000" w:themeColor="text1"/>
        </w:rPr>
        <w:t>L’excrétion apocrine (glande muqueuse)</w:t>
      </w:r>
    </w:p>
    <w:p w:rsidR="00A30B2D" w:rsidRDefault="00A30B2D" w:rsidP="008017A8">
      <w:pPr>
        <w:pStyle w:val="Paragraphedeliste"/>
        <w:numPr>
          <w:ilvl w:val="0"/>
          <w:numId w:val="2"/>
        </w:numPr>
        <w:spacing w:after="0"/>
        <w:rPr>
          <w:color w:val="000000" w:themeColor="text1"/>
        </w:rPr>
      </w:pPr>
      <w:r>
        <w:rPr>
          <w:color w:val="000000" w:themeColor="text1"/>
        </w:rPr>
        <w:t>L’excrétion holocrine (glande sébacée)</w:t>
      </w:r>
    </w:p>
    <w:p w:rsidR="00A30B2D" w:rsidRDefault="00A30B2D" w:rsidP="00A30B2D">
      <w:pPr>
        <w:spacing w:after="0"/>
        <w:ind w:left="360"/>
        <w:rPr>
          <w:color w:val="000000" w:themeColor="text1"/>
        </w:rPr>
      </w:pPr>
    </w:p>
    <w:p w:rsidR="00A30B2D" w:rsidRDefault="00A30B2D" w:rsidP="003D2D33">
      <w:pPr>
        <w:pStyle w:val="Paragraphedeliste"/>
        <w:numPr>
          <w:ilvl w:val="0"/>
          <w:numId w:val="7"/>
        </w:numPr>
        <w:spacing w:after="0"/>
        <w:rPr>
          <w:color w:val="000000" w:themeColor="text1"/>
        </w:rPr>
      </w:pPr>
      <w:r>
        <w:rPr>
          <w:color w:val="000000" w:themeColor="text1"/>
        </w:rPr>
        <w:t>D’après la nature du produit de sécrétion</w:t>
      </w:r>
    </w:p>
    <w:p w:rsidR="00A30B2D" w:rsidRDefault="00A30B2D" w:rsidP="00A30B2D">
      <w:pPr>
        <w:pStyle w:val="Paragraphedeliste"/>
        <w:numPr>
          <w:ilvl w:val="0"/>
          <w:numId w:val="2"/>
        </w:numPr>
        <w:spacing w:after="0"/>
        <w:rPr>
          <w:color w:val="000000" w:themeColor="text1"/>
        </w:rPr>
      </w:pPr>
      <w:r>
        <w:rPr>
          <w:color w:val="000000" w:themeColor="text1"/>
        </w:rPr>
        <w:t>Glandes séreuses (parotide</w:t>
      </w:r>
      <w:r w:rsidR="00BA1C5A">
        <w:rPr>
          <w:color w:val="000000" w:themeColor="text1"/>
        </w:rPr>
        <w:t>, pancréas</w:t>
      </w:r>
      <w:r>
        <w:rPr>
          <w:color w:val="000000" w:themeColor="text1"/>
        </w:rPr>
        <w:t>)</w:t>
      </w:r>
    </w:p>
    <w:p w:rsidR="00A30B2D" w:rsidRDefault="00A30B2D" w:rsidP="00A30B2D">
      <w:pPr>
        <w:pStyle w:val="Paragraphedeliste"/>
        <w:numPr>
          <w:ilvl w:val="0"/>
          <w:numId w:val="2"/>
        </w:numPr>
        <w:spacing w:after="0"/>
        <w:rPr>
          <w:color w:val="000000" w:themeColor="text1"/>
        </w:rPr>
      </w:pPr>
      <w:r>
        <w:rPr>
          <w:color w:val="000000" w:themeColor="text1"/>
        </w:rPr>
        <w:t>Glandes muqueuses (glande pyloriques de l’estomac)</w:t>
      </w:r>
    </w:p>
    <w:p w:rsidR="00A30B2D" w:rsidRPr="00A30B2D" w:rsidRDefault="003215D8" w:rsidP="00A30B2D">
      <w:pPr>
        <w:pStyle w:val="Paragraphedeliste"/>
        <w:numPr>
          <w:ilvl w:val="0"/>
          <w:numId w:val="2"/>
        </w:numPr>
        <w:spacing w:after="0"/>
        <w:rPr>
          <w:color w:val="000000" w:themeColor="text1"/>
        </w:rPr>
      </w:pPr>
      <w:r>
        <w:rPr>
          <w:color w:val="000000" w:themeColor="text1"/>
        </w:rPr>
        <w:t>Glandes mixte « </w:t>
      </w:r>
      <w:proofErr w:type="spellStart"/>
      <w:r>
        <w:rPr>
          <w:color w:val="000000" w:themeColor="text1"/>
        </w:rPr>
        <w:t>séro</w:t>
      </w:r>
      <w:proofErr w:type="spellEnd"/>
      <w:r>
        <w:rPr>
          <w:color w:val="000000" w:themeColor="text1"/>
        </w:rPr>
        <w:t>-muqueuse » (glande salivaire mixte</w:t>
      </w:r>
      <w:r w:rsidR="005531DB">
        <w:rPr>
          <w:color w:val="000000" w:themeColor="text1"/>
        </w:rPr>
        <w:t> : sous-maxillaire, et sous-linguale</w:t>
      </w:r>
      <w:r>
        <w:rPr>
          <w:color w:val="000000" w:themeColor="text1"/>
        </w:rPr>
        <w:t>)</w:t>
      </w:r>
    </w:p>
    <w:p w:rsidR="0003007C" w:rsidRDefault="0003007C" w:rsidP="00A50EE2">
      <w:pPr>
        <w:spacing w:after="0"/>
        <w:rPr>
          <w:color w:val="000000" w:themeColor="text1"/>
        </w:rPr>
      </w:pPr>
    </w:p>
    <w:p w:rsidR="00F4546F" w:rsidRDefault="00F4546F" w:rsidP="003D2D33">
      <w:pPr>
        <w:pStyle w:val="Paragraphedeliste"/>
        <w:numPr>
          <w:ilvl w:val="0"/>
          <w:numId w:val="7"/>
        </w:numPr>
        <w:spacing w:after="0"/>
        <w:rPr>
          <w:color w:val="000000" w:themeColor="text1"/>
        </w:rPr>
      </w:pPr>
      <w:r w:rsidRPr="00F4546F">
        <w:rPr>
          <w:color w:val="000000" w:themeColor="text1"/>
        </w:rPr>
        <w:t>D’après la forme de l’</w:t>
      </w:r>
      <w:r w:rsidR="005531DB">
        <w:rPr>
          <w:color w:val="000000" w:themeColor="text1"/>
        </w:rPr>
        <w:t>adéno</w:t>
      </w:r>
      <w:r w:rsidRPr="00F4546F">
        <w:rPr>
          <w:color w:val="000000" w:themeColor="text1"/>
        </w:rPr>
        <w:t>mère</w:t>
      </w:r>
    </w:p>
    <w:p w:rsidR="00DB7B4D" w:rsidRDefault="00DB7B4D" w:rsidP="00DB7B4D">
      <w:pPr>
        <w:pStyle w:val="Paragraphedeliste"/>
        <w:numPr>
          <w:ilvl w:val="0"/>
          <w:numId w:val="2"/>
        </w:numPr>
        <w:spacing w:after="0"/>
        <w:rPr>
          <w:color w:val="000000" w:themeColor="text1"/>
        </w:rPr>
      </w:pPr>
      <w:r>
        <w:rPr>
          <w:color w:val="000000" w:themeColor="text1"/>
        </w:rPr>
        <w:t xml:space="preserve">Tubulaire (glande </w:t>
      </w:r>
      <w:r w:rsidR="00FF6B97">
        <w:rPr>
          <w:color w:val="000000" w:themeColor="text1"/>
        </w:rPr>
        <w:t>gastrique, ou glande de Lieberküh</w:t>
      </w:r>
      <w:r w:rsidR="00FD3C04">
        <w:rPr>
          <w:color w:val="000000" w:themeColor="text1"/>
        </w:rPr>
        <w:t>n)</w:t>
      </w:r>
    </w:p>
    <w:p w:rsidR="00FF6B97" w:rsidRDefault="007308CD" w:rsidP="00DB7B4D">
      <w:pPr>
        <w:pStyle w:val="Paragraphedeliste"/>
        <w:numPr>
          <w:ilvl w:val="0"/>
          <w:numId w:val="2"/>
        </w:numPr>
        <w:spacing w:after="0"/>
        <w:rPr>
          <w:color w:val="000000" w:themeColor="text1"/>
        </w:rPr>
      </w:pPr>
      <w:r>
        <w:rPr>
          <w:noProof/>
          <w:color w:val="000000" w:themeColor="text1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3039110</wp:posOffset>
            </wp:positionH>
            <wp:positionV relativeFrom="paragraph">
              <wp:posOffset>177800</wp:posOffset>
            </wp:positionV>
            <wp:extent cx="3181350" cy="1410335"/>
            <wp:effectExtent l="19050" t="0" r="0" b="0"/>
            <wp:wrapSquare wrapText="bothSides"/>
            <wp:docPr id="16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41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6B97">
        <w:rPr>
          <w:color w:val="000000" w:themeColor="text1"/>
        </w:rPr>
        <w:t>Acineuse (parotide et pancréas)</w:t>
      </w:r>
    </w:p>
    <w:p w:rsidR="00FF6B97" w:rsidRDefault="00FF6B97" w:rsidP="00DB7B4D">
      <w:pPr>
        <w:pStyle w:val="Paragraphedeliste"/>
        <w:numPr>
          <w:ilvl w:val="0"/>
          <w:numId w:val="2"/>
        </w:numPr>
        <w:spacing w:after="0"/>
        <w:rPr>
          <w:color w:val="000000" w:themeColor="text1"/>
        </w:rPr>
      </w:pPr>
      <w:r>
        <w:rPr>
          <w:color w:val="000000" w:themeColor="text1"/>
        </w:rPr>
        <w:t>Alvéolaire (glande sudoripare)</w:t>
      </w:r>
    </w:p>
    <w:p w:rsidR="00FF6B97" w:rsidRPr="00F4546F" w:rsidRDefault="00FF6B97" w:rsidP="007308CD">
      <w:pPr>
        <w:pStyle w:val="Paragraphedeliste"/>
        <w:spacing w:after="0"/>
        <w:rPr>
          <w:color w:val="000000" w:themeColor="text1"/>
        </w:rPr>
      </w:pPr>
    </w:p>
    <w:p w:rsidR="00A35697" w:rsidRDefault="00A35697" w:rsidP="00A50EE2">
      <w:pPr>
        <w:spacing w:after="0"/>
        <w:rPr>
          <w:color w:val="000000" w:themeColor="text1"/>
        </w:rPr>
      </w:pPr>
    </w:p>
    <w:p w:rsidR="007308CD" w:rsidRDefault="007308CD" w:rsidP="00A50EE2">
      <w:pPr>
        <w:spacing w:after="0"/>
        <w:rPr>
          <w:color w:val="000000" w:themeColor="text1"/>
        </w:rPr>
      </w:pPr>
    </w:p>
    <w:p w:rsidR="007308CD" w:rsidRDefault="007308CD" w:rsidP="00A50EE2">
      <w:pPr>
        <w:spacing w:after="0"/>
        <w:rPr>
          <w:color w:val="000000" w:themeColor="text1"/>
        </w:rPr>
      </w:pPr>
    </w:p>
    <w:p w:rsidR="007308CD" w:rsidRDefault="007308CD" w:rsidP="00A50EE2">
      <w:pPr>
        <w:spacing w:after="0"/>
        <w:rPr>
          <w:color w:val="000000" w:themeColor="text1"/>
        </w:rPr>
      </w:pPr>
    </w:p>
    <w:p w:rsidR="007308CD" w:rsidRDefault="007308CD" w:rsidP="003D2D33">
      <w:pPr>
        <w:pStyle w:val="Paragraphedeliste"/>
        <w:numPr>
          <w:ilvl w:val="0"/>
          <w:numId w:val="7"/>
        </w:numPr>
        <w:spacing w:after="0"/>
        <w:rPr>
          <w:color w:val="000000" w:themeColor="text1"/>
        </w:rPr>
      </w:pPr>
      <w:r>
        <w:rPr>
          <w:color w:val="000000" w:themeColor="text1"/>
        </w:rPr>
        <w:lastRenderedPageBreak/>
        <w:t>D’après la forme du canal excréteur</w:t>
      </w:r>
    </w:p>
    <w:p w:rsidR="00FB77EF" w:rsidRDefault="00716FAA" w:rsidP="00FB77EF">
      <w:pPr>
        <w:pStyle w:val="Paragraphedeliste"/>
        <w:numPr>
          <w:ilvl w:val="0"/>
          <w:numId w:val="2"/>
        </w:numPr>
        <w:spacing w:after="0"/>
        <w:rPr>
          <w:color w:val="000000" w:themeColor="text1"/>
        </w:rPr>
      </w:pPr>
      <w:r>
        <w:rPr>
          <w:color w:val="000000" w:themeColor="text1"/>
        </w:rPr>
        <w:t xml:space="preserve">Glande </w:t>
      </w:r>
      <w:r w:rsidR="00D84379">
        <w:rPr>
          <w:color w:val="000000" w:themeColor="text1"/>
        </w:rPr>
        <w:t>tubuleuse droite simple</w:t>
      </w:r>
      <w:r w:rsidR="00725AF7">
        <w:rPr>
          <w:color w:val="000000" w:themeColor="text1"/>
        </w:rPr>
        <w:t xml:space="preserve"> (Lie</w:t>
      </w:r>
      <w:r w:rsidR="000F0C27">
        <w:rPr>
          <w:color w:val="000000" w:themeColor="text1"/>
        </w:rPr>
        <w:t>berkühn ?)</w:t>
      </w:r>
    </w:p>
    <w:p w:rsidR="007308CD" w:rsidRDefault="007308CD" w:rsidP="007308CD">
      <w:pPr>
        <w:pStyle w:val="Paragraphedeliste"/>
        <w:numPr>
          <w:ilvl w:val="0"/>
          <w:numId w:val="2"/>
        </w:numPr>
        <w:spacing w:after="0"/>
        <w:rPr>
          <w:color w:val="000000" w:themeColor="text1"/>
        </w:rPr>
      </w:pPr>
      <w:r>
        <w:rPr>
          <w:color w:val="000000" w:themeColor="text1"/>
        </w:rPr>
        <w:t>Glande tubuleuse droite ramifiée (glande pyloriques)</w:t>
      </w:r>
    </w:p>
    <w:p w:rsidR="007308CD" w:rsidRDefault="007308CD" w:rsidP="007308CD">
      <w:pPr>
        <w:pStyle w:val="Paragraphedeliste"/>
        <w:numPr>
          <w:ilvl w:val="0"/>
          <w:numId w:val="2"/>
        </w:numPr>
        <w:spacing w:after="0"/>
        <w:rPr>
          <w:color w:val="000000" w:themeColor="text1"/>
        </w:rPr>
      </w:pPr>
      <w:r>
        <w:rPr>
          <w:color w:val="000000" w:themeColor="text1"/>
        </w:rPr>
        <w:t>Glande tubuleuse contournée simple (glande sudoripare)</w:t>
      </w:r>
    </w:p>
    <w:p w:rsidR="007308CD" w:rsidRDefault="00FB77EF" w:rsidP="007308CD">
      <w:pPr>
        <w:pStyle w:val="Paragraphedeliste"/>
        <w:numPr>
          <w:ilvl w:val="0"/>
          <w:numId w:val="2"/>
        </w:numPr>
        <w:spacing w:after="0"/>
        <w:rPr>
          <w:color w:val="000000" w:themeColor="text1"/>
        </w:rPr>
      </w:pPr>
      <w:r>
        <w:rPr>
          <w:color w:val="000000" w:themeColor="text1"/>
        </w:rPr>
        <w:t xml:space="preserve">Glande </w:t>
      </w:r>
      <w:proofErr w:type="spellStart"/>
      <w:r>
        <w:rPr>
          <w:color w:val="000000" w:themeColor="text1"/>
        </w:rPr>
        <w:t>tubulo</w:t>
      </w:r>
      <w:proofErr w:type="spellEnd"/>
      <w:r>
        <w:rPr>
          <w:color w:val="000000" w:themeColor="text1"/>
        </w:rPr>
        <w:t>-alvéolaire composée (parotides des glandes salivaires sous-maxillaires)</w:t>
      </w:r>
    </w:p>
    <w:p w:rsidR="00FB77EF" w:rsidRDefault="00595B59" w:rsidP="00595B59">
      <w:pPr>
        <w:pStyle w:val="Paragraphedeliste"/>
        <w:numPr>
          <w:ilvl w:val="1"/>
          <w:numId w:val="2"/>
        </w:numPr>
        <w:spacing w:after="0"/>
        <w:rPr>
          <w:color w:val="000000" w:themeColor="text1"/>
        </w:rPr>
      </w:pPr>
      <w:r>
        <w:rPr>
          <w:color w:val="000000" w:themeColor="text1"/>
        </w:rPr>
        <w:t xml:space="preserve">Les </w:t>
      </w:r>
      <w:proofErr w:type="spellStart"/>
      <w:r>
        <w:rPr>
          <w:color w:val="000000" w:themeColor="text1"/>
        </w:rPr>
        <w:t>acinis</w:t>
      </w:r>
      <w:proofErr w:type="spellEnd"/>
      <w:r>
        <w:rPr>
          <w:color w:val="000000" w:themeColor="text1"/>
        </w:rPr>
        <w:t xml:space="preserve"> peuvent être séreux, muqueux, ou mixtes, forme tubulaire car recouverts d’épithélium de revêtement</w:t>
      </w:r>
    </w:p>
    <w:p w:rsidR="007308CD" w:rsidRDefault="00BE3985" w:rsidP="00BE3985">
      <w:pPr>
        <w:pStyle w:val="Paragraphedeliste"/>
        <w:numPr>
          <w:ilvl w:val="1"/>
          <w:numId w:val="2"/>
        </w:numPr>
        <w:spacing w:after="0"/>
        <w:rPr>
          <w:color w:val="000000" w:themeColor="text1"/>
        </w:rPr>
      </w:pPr>
      <w:r>
        <w:rPr>
          <w:color w:val="000000" w:themeColor="text1"/>
        </w:rPr>
        <w:t>Pour les parotide (uniquement séreux)</w:t>
      </w:r>
    </w:p>
    <w:p w:rsidR="00BE3985" w:rsidRDefault="00BE3985" w:rsidP="00BE3985">
      <w:pPr>
        <w:pStyle w:val="Paragraphedeliste"/>
        <w:numPr>
          <w:ilvl w:val="1"/>
          <w:numId w:val="2"/>
        </w:numPr>
        <w:spacing w:after="0"/>
        <w:rPr>
          <w:color w:val="000000" w:themeColor="text1"/>
        </w:rPr>
      </w:pPr>
      <w:r>
        <w:rPr>
          <w:color w:val="000000" w:themeColor="text1"/>
        </w:rPr>
        <w:t>Pour les glandes salivaires mixtes (séreux et muqueux)</w:t>
      </w:r>
    </w:p>
    <w:p w:rsidR="00BE3985" w:rsidRDefault="00BE3985" w:rsidP="00BE3985">
      <w:pPr>
        <w:spacing w:after="0"/>
        <w:rPr>
          <w:color w:val="000000" w:themeColor="text1"/>
        </w:rPr>
      </w:pPr>
    </w:p>
    <w:p w:rsidR="006A5FE8" w:rsidRDefault="006A5FE8" w:rsidP="00BE3985">
      <w:pPr>
        <w:spacing w:after="0"/>
        <w:rPr>
          <w:color w:val="000000" w:themeColor="text1"/>
        </w:rPr>
      </w:pPr>
      <w:r>
        <w:rPr>
          <w:color w:val="000000" w:themeColor="text1"/>
        </w:rPr>
        <w:t>Si on observe des noyaux ronds, la cellule peut être cubique.</w:t>
      </w:r>
    </w:p>
    <w:p w:rsidR="006A5FE8" w:rsidRDefault="006A5FE8" w:rsidP="00BE3985">
      <w:pPr>
        <w:spacing w:after="0"/>
        <w:rPr>
          <w:color w:val="000000" w:themeColor="text1"/>
        </w:rPr>
      </w:pPr>
      <w:r>
        <w:rPr>
          <w:color w:val="000000" w:themeColor="text1"/>
        </w:rPr>
        <w:t>Si on observe des noyaux ovalaires, perpendiculaires à la basale, la cellule peut être cylindrique.</w:t>
      </w:r>
    </w:p>
    <w:p w:rsidR="006A5FE8" w:rsidRDefault="002A2E8B" w:rsidP="00BE3985">
      <w:pPr>
        <w:spacing w:after="0"/>
        <w:rPr>
          <w:color w:val="000000" w:themeColor="text1"/>
        </w:rPr>
      </w:pPr>
      <w:r>
        <w:rPr>
          <w:noProof/>
          <w:color w:val="000000" w:themeColor="text1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44450</wp:posOffset>
            </wp:positionV>
            <wp:extent cx="2120900" cy="2840355"/>
            <wp:effectExtent l="19050" t="0" r="0" b="0"/>
            <wp:wrapSquare wrapText="bothSides"/>
            <wp:docPr id="2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84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6938">
        <w:rPr>
          <w:color w:val="000000" w:themeColor="text1"/>
        </w:rPr>
        <w:t>Eosinophile veut dire acidophile car l’éosine est un composé basique.</w:t>
      </w:r>
    </w:p>
    <w:p w:rsidR="002A2E8B" w:rsidRDefault="002A2E8B" w:rsidP="00BE3985">
      <w:pPr>
        <w:spacing w:after="0"/>
        <w:rPr>
          <w:color w:val="000000" w:themeColor="text1"/>
        </w:rPr>
      </w:pPr>
    </w:p>
    <w:p w:rsidR="002A2E8B" w:rsidRDefault="002A2E8B" w:rsidP="002A2E8B">
      <w:pPr>
        <w:spacing w:after="0"/>
        <w:jc w:val="both"/>
      </w:pPr>
      <w:r>
        <w:rPr>
          <w:rStyle w:val="ExempleHTML"/>
          <w:rFonts w:eastAsiaTheme="minorHAnsi"/>
          <w:b/>
          <w:bCs/>
        </w:rPr>
        <w:t>1(acinus de type muqueux), 2(croissant séreux</w:t>
      </w:r>
      <w:r w:rsidR="00630F78">
        <w:rPr>
          <w:rStyle w:val="ExempleHTML"/>
          <w:rFonts w:eastAsiaTheme="minorHAnsi"/>
          <w:b/>
          <w:bCs/>
        </w:rPr>
        <w:t xml:space="preserve"> de Gtianuzzi</w:t>
      </w:r>
      <w:r>
        <w:rPr>
          <w:rStyle w:val="ExempleHTML"/>
          <w:rFonts w:eastAsiaTheme="minorHAnsi"/>
          <w:b/>
          <w:bCs/>
        </w:rPr>
        <w:t>), 3(acinus de type séreux).</w:t>
      </w:r>
    </w:p>
    <w:p w:rsidR="0064303A" w:rsidRPr="00BE3985" w:rsidRDefault="0064303A" w:rsidP="00BE3985">
      <w:pPr>
        <w:spacing w:after="0"/>
        <w:rPr>
          <w:color w:val="000000" w:themeColor="text1"/>
        </w:rPr>
      </w:pPr>
    </w:p>
    <w:p w:rsidR="007308CD" w:rsidRDefault="002A2E8B" w:rsidP="00A50EE2">
      <w:pPr>
        <w:spacing w:after="0"/>
        <w:rPr>
          <w:color w:val="000000" w:themeColor="text1"/>
        </w:rPr>
      </w:pPr>
      <w:r>
        <w:rPr>
          <w:color w:val="000000" w:themeColor="text1"/>
        </w:rPr>
        <w:t xml:space="preserve">Les glandes salivaires (dans la muqueuse de la langue, de la bouche, du palais dur), glandes salivaires mixtes (acini séreux, muqueux ou mixtes). </w:t>
      </w:r>
    </w:p>
    <w:p w:rsidR="00383D81" w:rsidRDefault="00383D81" w:rsidP="00A50EE2">
      <w:pPr>
        <w:spacing w:after="0"/>
        <w:rPr>
          <w:color w:val="000000" w:themeColor="text1"/>
        </w:rPr>
      </w:pPr>
      <w:r>
        <w:rPr>
          <w:color w:val="000000" w:themeColor="text1"/>
        </w:rPr>
        <w:t xml:space="preserve">Epithélium simple cubique (ou prismatique) pour la partie du canal. </w:t>
      </w:r>
      <w:r w:rsidR="0011653E">
        <w:rPr>
          <w:color w:val="000000" w:themeColor="text1"/>
        </w:rPr>
        <w:t>Entre divers lobules, on trouve du tissu conjonctif, dans lequel on trouve les canaux plus grands qui sortent au niveaux de la bouche, ils sont bistratifiés car le diamèt</w:t>
      </w:r>
      <w:r w:rsidR="009C77E2">
        <w:rPr>
          <w:color w:val="000000" w:themeColor="text1"/>
        </w:rPr>
        <w:t>re du canal est plus important.</w:t>
      </w:r>
    </w:p>
    <w:p w:rsidR="009C77E2" w:rsidRDefault="009C77E2" w:rsidP="00A50EE2">
      <w:pPr>
        <w:spacing w:after="0"/>
        <w:rPr>
          <w:color w:val="000000" w:themeColor="text1"/>
        </w:rPr>
      </w:pPr>
    </w:p>
    <w:p w:rsidR="009C77E2" w:rsidRDefault="00D03DD8" w:rsidP="00A50EE2">
      <w:pPr>
        <w:spacing w:after="0"/>
        <w:rPr>
          <w:color w:val="000000" w:themeColor="text1"/>
        </w:rPr>
      </w:pPr>
      <w:r>
        <w:rPr>
          <w:color w:val="000000" w:themeColor="text1"/>
        </w:rPr>
        <w:t>Les glandes endocrines sont formées par des canaux cellulaires, p</w:t>
      </w:r>
      <w:r w:rsidR="009C77E2">
        <w:rPr>
          <w:color w:val="000000" w:themeColor="text1"/>
        </w:rPr>
        <w:t>our la thyroïde, sont formées par un épithélium simple cubique</w:t>
      </w:r>
      <w:r>
        <w:rPr>
          <w:color w:val="000000" w:themeColor="text1"/>
        </w:rPr>
        <w:t>.</w:t>
      </w:r>
    </w:p>
    <w:p w:rsidR="00C87EDE" w:rsidRDefault="00C87EDE" w:rsidP="00A50EE2">
      <w:pPr>
        <w:spacing w:after="0"/>
        <w:rPr>
          <w:color w:val="000000" w:themeColor="text1"/>
        </w:rPr>
      </w:pPr>
      <w:r>
        <w:rPr>
          <w:color w:val="000000" w:themeColor="text1"/>
        </w:rPr>
        <w:t xml:space="preserve">Les hormones thyroïdiennes forment une tâche rose foncée (visible au microscope) : </w:t>
      </w:r>
      <w:r w:rsidR="00376A4D">
        <w:rPr>
          <w:color w:val="000000" w:themeColor="text1"/>
        </w:rPr>
        <w:t>colloïde</w:t>
      </w:r>
      <w:r>
        <w:rPr>
          <w:color w:val="000000" w:themeColor="text1"/>
        </w:rPr>
        <w:t>.</w:t>
      </w:r>
    </w:p>
    <w:p w:rsidR="00376A4D" w:rsidRDefault="00376A4D" w:rsidP="00A50EE2">
      <w:pPr>
        <w:spacing w:after="0"/>
        <w:rPr>
          <w:color w:val="000000" w:themeColor="text1"/>
        </w:rPr>
      </w:pPr>
    </w:p>
    <w:p w:rsidR="001A07D0" w:rsidRDefault="001A07D0" w:rsidP="00A50EE2">
      <w:pPr>
        <w:spacing w:after="0"/>
        <w:rPr>
          <w:color w:val="000000" w:themeColor="text1"/>
        </w:rPr>
      </w:pPr>
      <w:r>
        <w:rPr>
          <w:color w:val="000000" w:themeColor="text1"/>
        </w:rPr>
        <w:t xml:space="preserve">Le dernier type de tissu pour les glandes mixtes se trouve dans le foie. Il est formé par des cordons d’hépatocytes (cellules polyédriques), </w:t>
      </w:r>
      <w:r w:rsidR="009152FF">
        <w:rPr>
          <w:color w:val="000000" w:themeColor="text1"/>
        </w:rPr>
        <w:t>séparées par des capillaires sinusoïdes</w:t>
      </w:r>
    </w:p>
    <w:p w:rsidR="00C87EDE" w:rsidRDefault="00C87EDE" w:rsidP="00A50EE2">
      <w:pPr>
        <w:spacing w:after="0"/>
        <w:rPr>
          <w:color w:val="000000" w:themeColor="text1"/>
        </w:rPr>
      </w:pPr>
    </w:p>
    <w:p w:rsidR="007C13BC" w:rsidRDefault="007C13BC" w:rsidP="00A50EE2">
      <w:pPr>
        <w:spacing w:after="0"/>
        <w:rPr>
          <w:color w:val="000000" w:themeColor="text1"/>
        </w:rPr>
      </w:pPr>
      <w:r>
        <w:rPr>
          <w:noProof/>
          <w:color w:val="000000" w:themeColor="text1"/>
          <w:lang w:eastAsia="fr-FR"/>
        </w:rPr>
        <w:lastRenderedPageBreak/>
        <w:drawing>
          <wp:inline distT="0" distB="0" distL="0" distR="0">
            <wp:extent cx="3317537" cy="2184188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468" cy="218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1837">
        <w:rPr>
          <w:noProof/>
          <w:color w:val="000000" w:themeColor="text1"/>
          <w:lang w:eastAsia="fr-FR"/>
        </w:rPr>
        <w:drawing>
          <wp:inline distT="0" distB="0" distL="0" distR="0">
            <wp:extent cx="2215287" cy="3349741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69" cy="335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3BC" w:rsidRDefault="007C13BC" w:rsidP="00A50EE2">
      <w:pPr>
        <w:spacing w:after="0"/>
        <w:rPr>
          <w:color w:val="000000" w:themeColor="text1"/>
        </w:rPr>
      </w:pPr>
      <w:r>
        <w:rPr>
          <w:color w:val="000000" w:themeColor="text1"/>
        </w:rPr>
        <w:t>Glande de Lieberkühn en coupe transversale</w:t>
      </w:r>
      <w:r w:rsidR="00401837">
        <w:rPr>
          <w:color w:val="000000" w:themeColor="text1"/>
        </w:rPr>
        <w:tab/>
      </w:r>
      <w:r w:rsidR="00401837">
        <w:rPr>
          <w:color w:val="000000" w:themeColor="text1"/>
        </w:rPr>
        <w:tab/>
      </w:r>
      <w:r w:rsidR="00401837">
        <w:rPr>
          <w:color w:val="000000" w:themeColor="text1"/>
        </w:rPr>
        <w:tab/>
        <w:t>coupe longitudinale</w:t>
      </w:r>
    </w:p>
    <w:p w:rsidR="007C13BC" w:rsidRDefault="007C13BC" w:rsidP="00A50EE2">
      <w:pPr>
        <w:spacing w:after="0"/>
        <w:rPr>
          <w:color w:val="000000" w:themeColor="text1"/>
        </w:rPr>
      </w:pPr>
    </w:p>
    <w:p w:rsidR="00401837" w:rsidRDefault="00401837" w:rsidP="00A50EE2">
      <w:pPr>
        <w:spacing w:after="0"/>
        <w:rPr>
          <w:color w:val="000000" w:themeColor="text1"/>
        </w:rPr>
      </w:pPr>
    </w:p>
    <w:p w:rsidR="007C13BC" w:rsidRPr="00A50EE2" w:rsidRDefault="007C13BC" w:rsidP="00A50EE2">
      <w:pPr>
        <w:spacing w:after="0"/>
        <w:rPr>
          <w:color w:val="000000" w:themeColor="text1"/>
        </w:rPr>
      </w:pPr>
    </w:p>
    <w:sectPr w:rsidR="007C13BC" w:rsidRPr="00A50EE2" w:rsidSect="007736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21032"/>
    <w:multiLevelType w:val="hybridMultilevel"/>
    <w:tmpl w:val="37229FA4"/>
    <w:lvl w:ilvl="0" w:tplc="8A986286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4F16A8F"/>
    <w:multiLevelType w:val="hybridMultilevel"/>
    <w:tmpl w:val="D6FAC090"/>
    <w:lvl w:ilvl="0" w:tplc="E28CCB9C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5D05EF0"/>
    <w:multiLevelType w:val="hybridMultilevel"/>
    <w:tmpl w:val="46885EC2"/>
    <w:lvl w:ilvl="0" w:tplc="44C2229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E3782D"/>
    <w:multiLevelType w:val="hybridMultilevel"/>
    <w:tmpl w:val="2B3E6704"/>
    <w:lvl w:ilvl="0" w:tplc="C42096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A6305E"/>
    <w:multiLevelType w:val="hybridMultilevel"/>
    <w:tmpl w:val="31866F44"/>
    <w:lvl w:ilvl="0" w:tplc="8932A4F8">
      <w:start w:val="3"/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5336916"/>
    <w:multiLevelType w:val="hybridMultilevel"/>
    <w:tmpl w:val="8D9AE726"/>
    <w:lvl w:ilvl="0" w:tplc="5296C30E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B12655"/>
    <w:multiLevelType w:val="hybridMultilevel"/>
    <w:tmpl w:val="86A83EE4"/>
    <w:lvl w:ilvl="0" w:tplc="3926AF4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compat/>
  <w:rsids>
    <w:rsidRoot w:val="00A06791"/>
    <w:rsid w:val="0003007C"/>
    <w:rsid w:val="000A4C91"/>
    <w:rsid w:val="000F0C27"/>
    <w:rsid w:val="0011653E"/>
    <w:rsid w:val="0018349D"/>
    <w:rsid w:val="001A07D0"/>
    <w:rsid w:val="002A2E8B"/>
    <w:rsid w:val="002E22B6"/>
    <w:rsid w:val="003215D8"/>
    <w:rsid w:val="00376A4D"/>
    <w:rsid w:val="00383D81"/>
    <w:rsid w:val="003D2D33"/>
    <w:rsid w:val="00401837"/>
    <w:rsid w:val="0045184A"/>
    <w:rsid w:val="004525EA"/>
    <w:rsid w:val="00526938"/>
    <w:rsid w:val="005531DB"/>
    <w:rsid w:val="00595B59"/>
    <w:rsid w:val="005F0C4F"/>
    <w:rsid w:val="005F5C77"/>
    <w:rsid w:val="00630F78"/>
    <w:rsid w:val="0064303A"/>
    <w:rsid w:val="006A5FE8"/>
    <w:rsid w:val="00716FAA"/>
    <w:rsid w:val="00725AF7"/>
    <w:rsid w:val="007308CD"/>
    <w:rsid w:val="00773657"/>
    <w:rsid w:val="007C13BC"/>
    <w:rsid w:val="008017A8"/>
    <w:rsid w:val="009152FF"/>
    <w:rsid w:val="009C77E2"/>
    <w:rsid w:val="00A06791"/>
    <w:rsid w:val="00A30B2D"/>
    <w:rsid w:val="00A35697"/>
    <w:rsid w:val="00A5086F"/>
    <w:rsid w:val="00A50EE2"/>
    <w:rsid w:val="00B42C24"/>
    <w:rsid w:val="00B504D9"/>
    <w:rsid w:val="00BA1C5A"/>
    <w:rsid w:val="00BD6DE3"/>
    <w:rsid w:val="00BE3985"/>
    <w:rsid w:val="00C70309"/>
    <w:rsid w:val="00C87EDE"/>
    <w:rsid w:val="00D03DD8"/>
    <w:rsid w:val="00D84379"/>
    <w:rsid w:val="00DB7B4D"/>
    <w:rsid w:val="00E06F8A"/>
    <w:rsid w:val="00E23973"/>
    <w:rsid w:val="00F4546F"/>
    <w:rsid w:val="00FB77EF"/>
    <w:rsid w:val="00FC656A"/>
    <w:rsid w:val="00FD3C04"/>
    <w:rsid w:val="00FF6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65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50EE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30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08CD"/>
    <w:rPr>
      <w:rFonts w:ascii="Tahoma" w:hAnsi="Tahoma" w:cs="Tahoma"/>
      <w:sz w:val="16"/>
      <w:szCs w:val="16"/>
    </w:rPr>
  </w:style>
  <w:style w:type="character" w:styleId="ExempleHTML">
    <w:name w:val="HTML Sample"/>
    <w:basedOn w:val="Policepardfaut"/>
    <w:uiPriority w:val="99"/>
    <w:semiHidden/>
    <w:unhideWhenUsed/>
    <w:rsid w:val="002A2E8B"/>
    <w:rPr>
      <w:rFonts w:ascii="Courier New" w:eastAsia="Times New Roman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515</Words>
  <Characters>2838</Characters>
  <Application>Microsoft Office Word</Application>
  <DocSecurity>0</DocSecurity>
  <Lines>23</Lines>
  <Paragraphs>6</Paragraphs>
  <ScaleCrop>false</ScaleCrop>
  <Company/>
  <LinksUpToDate>false</LinksUpToDate>
  <CharactersWithSpaces>3347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51</cp:revision>
  <dcterms:created xsi:type="dcterms:W3CDTF">2010-10-07T06:50:00Z</dcterms:created>
  <dcterms:modified xsi:type="dcterms:W3CDTF">2010-10-07T09:47:00Z</dcterms:modified>
</cp:coreProperties>
</file>