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6A" w:rsidRPr="006F53E7" w:rsidRDefault="00E15439" w:rsidP="004C41F4">
      <w:pPr>
        <w:spacing w:after="0"/>
        <w:jc w:val="center"/>
        <w:rPr>
          <w:b/>
          <w:color w:val="0070C0"/>
          <w:sz w:val="24"/>
          <w:u w:val="single"/>
        </w:rPr>
      </w:pPr>
      <w:r w:rsidRPr="006F53E7">
        <w:rPr>
          <w:b/>
          <w:color w:val="0070C0"/>
          <w:sz w:val="24"/>
          <w:u w:val="single"/>
        </w:rPr>
        <w:t>Cours n°5 – La troisième semaine</w:t>
      </w:r>
    </w:p>
    <w:p w:rsidR="00E15439" w:rsidRDefault="00E15439" w:rsidP="00E15439">
      <w:pPr>
        <w:spacing w:after="0"/>
      </w:pPr>
    </w:p>
    <w:p w:rsidR="00E15439" w:rsidRDefault="00E15439" w:rsidP="00E15439">
      <w:pPr>
        <w:spacing w:after="0"/>
      </w:pPr>
      <w:r>
        <w:t>Le principal événement qui se produit est la gastrulation</w:t>
      </w:r>
      <w:r w:rsidR="004C41F4">
        <w:t xml:space="preserve"> (formation du disque embryonnaire tridermique).</w:t>
      </w:r>
      <w:r w:rsidR="0010602B">
        <w:t xml:space="preserve"> Un autre événement important est la formation du notochorde. </w:t>
      </w:r>
    </w:p>
    <w:p w:rsidR="00287267" w:rsidRDefault="006F53E7" w:rsidP="00E15439">
      <w:pPr>
        <w:spacing w:after="0"/>
      </w:pPr>
      <w:r>
        <w:t>Commencem</w:t>
      </w:r>
      <w:r w:rsidR="003D4F15">
        <w:t>ent de la formation des somites et enfin le commencement d’</w:t>
      </w:r>
      <w:r w:rsidR="00287267">
        <w:t>un processus de neurulation (formation du système nerveux).</w:t>
      </w:r>
    </w:p>
    <w:p w:rsidR="00353599" w:rsidRDefault="00353599" w:rsidP="00E15439">
      <w:pPr>
        <w:spacing w:after="0"/>
      </w:pPr>
      <w:r w:rsidRPr="0035359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439420</wp:posOffset>
            </wp:positionV>
            <wp:extent cx="2057400" cy="1343025"/>
            <wp:effectExtent l="19050" t="0" r="0" b="0"/>
            <wp:wrapSquare wrapText="bothSides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A46" w:rsidRPr="00BE2A46">
        <w:drawing>
          <wp:inline distT="0" distB="0" distL="0" distR="0">
            <wp:extent cx="3181350" cy="234412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50" cy="23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46" w:rsidRDefault="00BE2A46" w:rsidP="00E15439">
      <w:pPr>
        <w:spacing w:after="0"/>
      </w:pPr>
      <w:r>
        <w:t xml:space="preserve">Le premier </w:t>
      </w:r>
      <w:r w:rsidR="004D5D0D">
        <w:t>événement</w:t>
      </w:r>
      <w:r>
        <w:t xml:space="preserve"> est la formation de la ligne primitive.</w:t>
      </w:r>
    </w:p>
    <w:p w:rsidR="00BE2A46" w:rsidRDefault="00BE2A46" w:rsidP="007C2C1B">
      <w:pPr>
        <w:spacing w:after="0"/>
        <w:jc w:val="both"/>
      </w:pPr>
      <w:r>
        <w:t xml:space="preserve">Sur la face </w:t>
      </w:r>
      <w:r w:rsidR="00173206">
        <w:t>supérieure ?</w:t>
      </w:r>
      <w:r>
        <w:t xml:space="preserve"> à l’extrémité caudale de l’embryon, dépression que l’on appelle le sillon primitif, ce sillon finit au niveau d’une dépression située au milieu de l’embryon</w:t>
      </w:r>
      <w:r w:rsidR="004D5D0D">
        <w:t xml:space="preserve"> et qui s’appelle la fossette (ou dépression) primitive.</w:t>
      </w:r>
      <w:r w:rsidR="00173206">
        <w:t xml:space="preserve"> Dépression entouré par une proéminence (nœud primitif).</w:t>
      </w:r>
    </w:p>
    <w:p w:rsidR="00173206" w:rsidRDefault="00173206" w:rsidP="007C2C1B">
      <w:pPr>
        <w:spacing w:after="0"/>
        <w:jc w:val="both"/>
      </w:pPr>
      <w:r>
        <w:t>L’ensemble formé par le sillon, la dépression et le nœud primitifs forment la ligne primitive.</w:t>
      </w:r>
    </w:p>
    <w:p w:rsidR="00173206" w:rsidRDefault="000D6727" w:rsidP="007C2C1B">
      <w:pPr>
        <w:spacing w:after="0"/>
        <w:jc w:val="both"/>
      </w:pPr>
      <w:r>
        <w:t>La formation de la ligne primitive va déterminer l’axe de symétrie de l’</w:t>
      </w:r>
      <w:r w:rsidR="003D3761">
        <w:t>embryon (gauche-droite, céphalique-caudal).</w:t>
      </w:r>
    </w:p>
    <w:p w:rsidR="003D3761" w:rsidRDefault="003D3761" w:rsidP="007C2C1B">
      <w:pPr>
        <w:spacing w:after="0"/>
        <w:jc w:val="both"/>
      </w:pPr>
    </w:p>
    <w:p w:rsidR="007F6AEE" w:rsidRDefault="00963C2A" w:rsidP="007C2C1B">
      <w:pPr>
        <w:spacing w:after="0"/>
        <w:jc w:val="both"/>
      </w:pPr>
      <w:r>
        <w:t>L’épiblaste donne une population cellulaire qui se déplace par la ligne primitive</w:t>
      </w:r>
      <w:r w:rsidR="007F6AEE">
        <w:t xml:space="preserve"> et remplace l’ancien endoblaste.</w:t>
      </w:r>
      <w:r w:rsidR="00CB2709">
        <w:t xml:space="preserve"> Après ce remplacement, on a une nouvelle population cellulaire avec une origine ectoblastique qui reste entre l’ectoblaste et l’</w:t>
      </w:r>
      <w:r w:rsidR="007C2C1B">
        <w:t>endoblaste et forme la troisième couche (le mésoblaste embryonnaire).</w:t>
      </w:r>
    </w:p>
    <w:p w:rsidR="007C2C1B" w:rsidRDefault="003D3DEB" w:rsidP="007C2C1B">
      <w:pPr>
        <w:spacing w:after="0"/>
        <w:jc w:val="both"/>
      </w:pPr>
      <w:r>
        <w:t>Une partie du mésoblaste se déplace vers la ligne médiane et une partie se déplace latéralement.</w:t>
      </w:r>
    </w:p>
    <w:p w:rsidR="003D3DEB" w:rsidRDefault="003D3DEB" w:rsidP="007C2C1B">
      <w:pPr>
        <w:spacing w:after="0"/>
        <w:jc w:val="both"/>
      </w:pPr>
      <w:r>
        <w:t>La partie du mésoblaste située en avant du nœud primitif forme la plaque préchordale qui va former les structures craniales. Le nœud primitif va donner (jusqu’à l’extrémité caudale), le processus notochordal.</w:t>
      </w:r>
    </w:p>
    <w:p w:rsidR="003D3DEB" w:rsidRDefault="00551367" w:rsidP="007C2C1B">
      <w:pPr>
        <w:spacing w:after="0"/>
        <w:jc w:val="both"/>
      </w:pPr>
      <w:r>
        <w:t>Les animaux sont divisés en animaux vertébrés (oiseaux, poissons, amphibiens, reptiles, mammifères) et les non-vertébrés.</w:t>
      </w:r>
    </w:p>
    <w:p w:rsidR="003017F4" w:rsidRDefault="009A799E" w:rsidP="009A799E">
      <w:pPr>
        <w:spacing w:after="0"/>
      </w:pPr>
      <w:r w:rsidRPr="009A799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2295525" cy="1524000"/>
            <wp:effectExtent l="19050" t="0" r="9525" b="0"/>
            <wp:wrapTight wrapText="bothSides">
              <wp:wrapPolygon edited="0">
                <wp:start x="-179" y="0"/>
                <wp:lineTo x="-179" y="21330"/>
                <wp:lineTo x="21690" y="21330"/>
                <wp:lineTo x="21690" y="0"/>
                <wp:lineTo x="-179" y="0"/>
              </wp:wrapPolygon>
            </wp:wrapTight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DEB" w:rsidRDefault="00DF250B" w:rsidP="00DF250B">
      <w:pPr>
        <w:pStyle w:val="Paragraphedeliste"/>
        <w:numPr>
          <w:ilvl w:val="0"/>
          <w:numId w:val="1"/>
        </w:numPr>
        <w:spacing w:after="0"/>
        <w:jc w:val="both"/>
      </w:pPr>
      <w:r>
        <w:t>L’épiblaste va donner l’ectoderme</w:t>
      </w:r>
    </w:p>
    <w:p w:rsidR="00DF250B" w:rsidRDefault="00DF250B" w:rsidP="00DF250B">
      <w:pPr>
        <w:pStyle w:val="Paragraphedeliste"/>
        <w:numPr>
          <w:ilvl w:val="0"/>
          <w:numId w:val="1"/>
        </w:numPr>
        <w:spacing w:after="0"/>
        <w:jc w:val="both"/>
      </w:pPr>
      <w:r>
        <w:t>L’endoblaste va devenir l’endoderme</w:t>
      </w:r>
    </w:p>
    <w:p w:rsidR="00DF250B" w:rsidRDefault="00DF250B" w:rsidP="00DF250B">
      <w:pPr>
        <w:pStyle w:val="Paragraphedeliste"/>
        <w:numPr>
          <w:ilvl w:val="0"/>
          <w:numId w:val="1"/>
        </w:numPr>
        <w:spacing w:after="0"/>
        <w:jc w:val="both"/>
      </w:pPr>
      <w:r>
        <w:t>Le mésoblaste E donne le mésoderme</w:t>
      </w:r>
    </w:p>
    <w:p w:rsidR="00DF250B" w:rsidRDefault="00DF250B" w:rsidP="007C2C1B">
      <w:pPr>
        <w:spacing w:after="0"/>
        <w:jc w:val="both"/>
      </w:pPr>
    </w:p>
    <w:p w:rsidR="00DF250B" w:rsidRDefault="00DF250B" w:rsidP="007C2C1B">
      <w:pPr>
        <w:spacing w:after="0"/>
        <w:jc w:val="both"/>
      </w:pPr>
    </w:p>
    <w:p w:rsidR="00DF250B" w:rsidRDefault="00DF250B" w:rsidP="007C2C1B">
      <w:pPr>
        <w:spacing w:after="0"/>
        <w:jc w:val="both"/>
      </w:pPr>
    </w:p>
    <w:p w:rsidR="00DF250B" w:rsidRDefault="00DF250B" w:rsidP="007C2C1B">
      <w:pPr>
        <w:spacing w:after="0"/>
        <w:jc w:val="both"/>
      </w:pPr>
    </w:p>
    <w:p w:rsidR="00DF250B" w:rsidRDefault="00DF250B" w:rsidP="007C2C1B">
      <w:pPr>
        <w:spacing w:after="0"/>
        <w:jc w:val="both"/>
      </w:pPr>
      <w:r>
        <w:lastRenderedPageBreak/>
        <w:t xml:space="preserve">La nouvelle couche (mésoderme) va occuper tout l’espace entre l’ectoderme et l’endoderme sauf en deux régions : </w:t>
      </w:r>
    </w:p>
    <w:p w:rsidR="00DF250B" w:rsidRDefault="00DF250B" w:rsidP="00DF250B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Une région caudale (la </w:t>
      </w:r>
      <w:r w:rsidR="007F1414">
        <w:t>région</w:t>
      </w:r>
      <w:r>
        <w:t xml:space="preserve"> cloacale)</w:t>
      </w:r>
    </w:p>
    <w:p w:rsidR="00DF250B" w:rsidRDefault="00DF250B" w:rsidP="00DF250B">
      <w:pPr>
        <w:pStyle w:val="Paragraphedeliste"/>
        <w:numPr>
          <w:ilvl w:val="0"/>
          <w:numId w:val="1"/>
        </w:numPr>
        <w:spacing w:after="0"/>
        <w:jc w:val="both"/>
      </w:pPr>
      <w:r>
        <w:t>Une région céphalique (</w:t>
      </w:r>
      <w:r w:rsidR="007F1414">
        <w:t>région bucco-</w:t>
      </w:r>
      <w:r>
        <w:t>pharyngienne)</w:t>
      </w:r>
    </w:p>
    <w:p w:rsidR="003D3DEB" w:rsidRDefault="00DF250B" w:rsidP="007C2C1B">
      <w:pPr>
        <w:spacing w:after="0"/>
        <w:jc w:val="both"/>
      </w:pPr>
      <w:r>
        <w:t>Elles sont formées uniquement d’ectoderme et d’endoderme</w:t>
      </w:r>
      <w:r w:rsidR="00592360">
        <w:t>.</w:t>
      </w:r>
    </w:p>
    <w:p w:rsidR="00592360" w:rsidRDefault="00A0096B" w:rsidP="007C2C1B">
      <w:pPr>
        <w:spacing w:after="0"/>
        <w:jc w:val="both"/>
      </w:pPr>
      <w:r>
        <w:t>Ceci est important car ces régions deviendront les deux extrémités de l’intestin (cavité buccale, et rectum).</w:t>
      </w:r>
    </w:p>
    <w:p w:rsidR="00A0096B" w:rsidRDefault="00F257D7" w:rsidP="007C2C1B">
      <w:pPr>
        <w:spacing w:after="0"/>
        <w:jc w:val="both"/>
      </w:pPr>
      <w:r>
        <w:t>Le processus notochordal a une structure tubulaire et deviendra un cordon solide.</w:t>
      </w:r>
    </w:p>
    <w:p w:rsidR="00C22E7E" w:rsidRPr="00C22E7E" w:rsidRDefault="00C22E7E" w:rsidP="00C22E7E">
      <w:pPr>
        <w:spacing w:after="0"/>
        <w:jc w:val="both"/>
      </w:pPr>
      <w:r>
        <w:rPr>
          <w:noProof/>
          <w:lang w:eastAsia="fr-FR"/>
        </w:rPr>
        <w:drawing>
          <wp:inline distT="0" distB="0" distL="0" distR="0">
            <wp:extent cx="2133600" cy="185737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E7E">
        <w:drawing>
          <wp:inline distT="0" distB="0" distL="0" distR="0">
            <wp:extent cx="2114550" cy="1857375"/>
            <wp:effectExtent l="19050" t="0" r="0" b="0"/>
            <wp:docPr id="6" name="Image 11" descr="http://www.embryology.ch/images/himgdisque/02triderm/h2ia2_cstad7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mbryology.ch/images/himgdisque/02triderm/h2ia2_cstad7_1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E7E" w:rsidRDefault="00C22E7E" w:rsidP="00C22E7E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1 : processus </w:t>
      </w:r>
      <w:proofErr w:type="spellStart"/>
      <w:r>
        <w:rPr>
          <w:rFonts w:ascii="Times New Roman" w:eastAsia="Times New Roman" w:hAnsi="Times New Roman" w:cs="Times New Roman"/>
        </w:rPr>
        <w:t>prochordal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3 : </w:t>
      </w:r>
      <w:proofErr w:type="spellStart"/>
      <w:r>
        <w:rPr>
          <w:rFonts w:ascii="Times New Roman" w:eastAsia="Times New Roman" w:hAnsi="Times New Roman" w:cs="Times New Roman"/>
        </w:rPr>
        <w:t>entoblaste</w:t>
      </w:r>
      <w:proofErr w:type="spellEnd"/>
      <w:r>
        <w:rPr>
          <w:rFonts w:ascii="Times New Roman" w:eastAsia="Times New Roman" w:hAnsi="Times New Roman" w:cs="Times New Roman"/>
        </w:rPr>
        <w:t xml:space="preserve"> embryonnaire             4 : cavité amniotique                                    </w:t>
      </w:r>
      <w:r w:rsidRPr="00AB752F">
        <w:rPr>
          <w:rFonts w:ascii="Times New Roman" w:eastAsia="Times New Roman" w:hAnsi="Times New Roman" w:cs="Times New Roman"/>
          <w:color w:val="000000" w:themeColor="text1"/>
        </w:rPr>
        <w:t>5</w:t>
      </w:r>
      <w:r>
        <w:rPr>
          <w:rFonts w:ascii="Times New Roman" w:eastAsia="Times New Roman" w:hAnsi="Times New Roman" w:cs="Times New Roman"/>
        </w:rPr>
        <w:t> : pédicule embryonnaire                     6 : MEE                                            7 : allantoïde</w:t>
      </w:r>
    </w:p>
    <w:p w:rsidR="00F257D7" w:rsidRDefault="00F257D7" w:rsidP="007C2C1B">
      <w:pPr>
        <w:spacing w:after="0"/>
        <w:jc w:val="both"/>
      </w:pPr>
    </w:p>
    <w:p w:rsidR="00C22E7E" w:rsidRDefault="007A0BD2" w:rsidP="007C2C1B">
      <w:pPr>
        <w:spacing w:after="0"/>
        <w:jc w:val="both"/>
      </w:pPr>
      <w:r>
        <w:t>Le mésoderme qui s’est déplacé dans la partie latéral de la notochorde va développer trois st</w:t>
      </w:r>
      <w:r w:rsidR="00A83210">
        <w:t>r</w:t>
      </w:r>
      <w:r>
        <w:t>uctures.</w:t>
      </w:r>
      <w:r w:rsidR="00A83210">
        <w:t xml:space="preserve"> Une structure très proche du notochorde qui s’appelle mésoderme para-axial.</w:t>
      </w:r>
    </w:p>
    <w:p w:rsidR="00A83210" w:rsidRDefault="00FC546B" w:rsidP="007C2C1B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81915</wp:posOffset>
            </wp:positionV>
            <wp:extent cx="2912110" cy="2143125"/>
            <wp:effectExtent l="19050" t="0" r="2540" b="0"/>
            <wp:wrapTight wrapText="bothSides">
              <wp:wrapPolygon edited="0">
                <wp:start x="-141" y="0"/>
                <wp:lineTo x="-141" y="21504"/>
                <wp:lineTo x="21619" y="21504"/>
                <wp:lineTo x="21619" y="0"/>
                <wp:lineTo x="-141" y="0"/>
              </wp:wrapPolygon>
            </wp:wrapTight>
            <wp:docPr id="8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B15">
        <w:t>Le mésoderme para-axial va fermer les somites</w:t>
      </w:r>
    </w:p>
    <w:p w:rsidR="00941B15" w:rsidRDefault="00941B15" w:rsidP="007C2C1B">
      <w:pPr>
        <w:spacing w:after="0"/>
        <w:jc w:val="both"/>
      </w:pPr>
    </w:p>
    <w:p w:rsidR="00FC546B" w:rsidRDefault="00FC546B" w:rsidP="007C2C1B">
      <w:pPr>
        <w:spacing w:after="0"/>
        <w:jc w:val="both"/>
      </w:pPr>
      <w:r>
        <w:t>Le mésoblaste intermédiaire : il formera le système excréteur (appareil rénal)</w:t>
      </w:r>
    </w:p>
    <w:p w:rsidR="00FC546B" w:rsidRDefault="00FC546B" w:rsidP="007C2C1B">
      <w:pPr>
        <w:spacing w:after="0"/>
        <w:jc w:val="both"/>
      </w:pPr>
    </w:p>
    <w:p w:rsidR="00FC546B" w:rsidRDefault="00FC546B" w:rsidP="007C2C1B">
      <w:pPr>
        <w:spacing w:after="0"/>
        <w:jc w:val="both"/>
      </w:pPr>
      <w:r>
        <w:t>Et enfin, la lame latérale se divisera en deux feuillets : la splanchnopleure « </w:t>
      </w:r>
      <w:proofErr w:type="spellStart"/>
      <w:r>
        <w:t>splanchos</w:t>
      </w:r>
      <w:proofErr w:type="spellEnd"/>
      <w:r>
        <w:t> » organe interne ; et le deuxième feuillet, collé à l’ectoderme : la somatopleure.</w:t>
      </w:r>
    </w:p>
    <w:p w:rsidR="00FC546B" w:rsidRDefault="00FC546B" w:rsidP="007C2C1B">
      <w:pPr>
        <w:spacing w:after="0"/>
        <w:jc w:val="both"/>
      </w:pPr>
    </w:p>
    <w:p w:rsidR="0063660E" w:rsidRDefault="0063660E" w:rsidP="007C2C1B">
      <w:pPr>
        <w:spacing w:after="0"/>
        <w:jc w:val="both"/>
      </w:pPr>
      <w:r>
        <w:t>La cavité abdominale possède deux feuillets :</w:t>
      </w:r>
    </w:p>
    <w:p w:rsidR="0063660E" w:rsidRDefault="0063660E" w:rsidP="007C2C1B">
      <w:pPr>
        <w:spacing w:after="0"/>
        <w:jc w:val="both"/>
      </w:pPr>
      <w:r>
        <w:t>Le péritoine qui a deux feuillets (viscérale qui dérive de la splanchnopleure et pariétal qui dérive de la somatopleure).</w:t>
      </w:r>
    </w:p>
    <w:p w:rsidR="00C21923" w:rsidRDefault="00C21923" w:rsidP="007C2C1B">
      <w:pPr>
        <w:spacing w:after="0"/>
        <w:jc w:val="both"/>
      </w:pPr>
      <w:r>
        <w:t>La lame latéral se continue avec le mésoblaste extra-embryonnaire.</w:t>
      </w:r>
    </w:p>
    <w:p w:rsidR="00C21923" w:rsidRDefault="00C21923" w:rsidP="007C2C1B">
      <w:pPr>
        <w:spacing w:after="0"/>
        <w:jc w:val="both"/>
      </w:pPr>
    </w:p>
    <w:p w:rsidR="00172555" w:rsidRDefault="00172555" w:rsidP="007C2C1B">
      <w:pPr>
        <w:spacing w:after="0"/>
        <w:jc w:val="both"/>
      </w:pPr>
      <w:r>
        <w:t>Le mésoblaste para-axial formera, à la fin de la troisième semaine, des structures (pas très bien délimitées) : les somitomères. Ils se form</w:t>
      </w:r>
      <w:r w:rsidR="001C4420">
        <w:t xml:space="preserve">ent dans la succession </w:t>
      </w:r>
      <w:proofErr w:type="spellStart"/>
      <w:r w:rsidR="001C4420">
        <w:t>cranio</w:t>
      </w:r>
      <w:proofErr w:type="spellEnd"/>
      <w:r w:rsidR="001C4420">
        <w:t>-c</w:t>
      </w:r>
      <w:r>
        <w:t xml:space="preserve">audale. Les somitomères vont développer des structures très bien délimitées qui s’appellent les somites. </w:t>
      </w:r>
      <w:r w:rsidR="00911777">
        <w:t>Les sept premières paires de somitomères ne forment pas de somites (pour toutes les espèces d’animaux).</w:t>
      </w:r>
    </w:p>
    <w:p w:rsidR="00911777" w:rsidRDefault="00911777" w:rsidP="007C2C1B">
      <w:pPr>
        <w:spacing w:after="0"/>
        <w:jc w:val="both"/>
      </w:pPr>
      <w:r>
        <w:t>Les somitomères 8, 9, et 10 formeront les somites 1, 2 et 3.</w:t>
      </w:r>
    </w:p>
    <w:p w:rsidR="00911777" w:rsidRDefault="001C4420" w:rsidP="007C2C1B">
      <w:pPr>
        <w:spacing w:after="0"/>
        <w:jc w:val="both"/>
      </w:pPr>
      <w:r>
        <w:t>On forme 4 paires de somites craniaux, 8 paires des somites cervicales, 12 paires de somites thoraciques</w:t>
      </w:r>
      <w:r w:rsidR="001514BD">
        <w:t>, 5 paires de somites lombaires, 5 paires de somites sacrés, et 3-5 somites coccygiens.</w:t>
      </w:r>
    </w:p>
    <w:p w:rsidR="001514BD" w:rsidRDefault="007F1AEE" w:rsidP="007C2C1B">
      <w:pPr>
        <w:spacing w:after="0"/>
        <w:jc w:val="both"/>
      </w:pPr>
      <w:r>
        <w:lastRenderedPageBreak/>
        <w:t xml:space="preserve">Chez l’homme on forme 42-44 paires de somites. </w:t>
      </w:r>
      <w:r w:rsidR="00702D5B">
        <w:t>Quelques somites caudaux dégénèrent et il reste 37 paires de somites. Les 4 premiers participent à la formation du crâne, et il reste 33 somites pour former les vertèbres.</w:t>
      </w:r>
    </w:p>
    <w:p w:rsidR="00702D5B" w:rsidRDefault="0006052B" w:rsidP="007C2C1B">
      <w:pPr>
        <w:spacing w:after="0"/>
        <w:jc w:val="both"/>
      </w:pPr>
      <w:r>
        <w:t>Le dernier événement de la troisième semaine est le commencement de la neurulation : formation du système nerveux</w:t>
      </w:r>
      <w:r w:rsidR="0003010E">
        <w:t xml:space="preserve"> (J18).</w:t>
      </w:r>
    </w:p>
    <w:p w:rsidR="0003010E" w:rsidRDefault="0003010E" w:rsidP="0003010E">
      <w:pPr>
        <w:pStyle w:val="Paragraphedeliste"/>
        <w:numPr>
          <w:ilvl w:val="0"/>
          <w:numId w:val="2"/>
        </w:numPr>
        <w:spacing w:after="0"/>
        <w:jc w:val="both"/>
      </w:pPr>
      <w:r>
        <w:t>A l’extrémité crâniale de l’embryon, l’ectoderme va grossir en formant la plaque neurale</w:t>
      </w:r>
      <w:r w:rsidR="00D516C1">
        <w:t xml:space="preserve"> (qui développera le système nerveux central).</w:t>
      </w:r>
    </w:p>
    <w:p w:rsidR="00D516C1" w:rsidRDefault="00D516C1" w:rsidP="00D516C1">
      <w:pPr>
        <w:spacing w:after="0"/>
        <w:jc w:val="both"/>
      </w:pPr>
    </w:p>
    <w:p w:rsidR="0003010E" w:rsidRDefault="0003010E" w:rsidP="007C2C1B">
      <w:pPr>
        <w:spacing w:after="0"/>
        <w:jc w:val="both"/>
      </w:pPr>
    </w:p>
    <w:p w:rsidR="0063660E" w:rsidRDefault="0063660E" w:rsidP="007C2C1B">
      <w:pPr>
        <w:spacing w:after="0"/>
        <w:jc w:val="both"/>
      </w:pPr>
    </w:p>
    <w:p w:rsidR="007A0BD2" w:rsidRDefault="007A0BD2" w:rsidP="007C2C1B">
      <w:pPr>
        <w:spacing w:after="0"/>
        <w:jc w:val="both"/>
      </w:pPr>
    </w:p>
    <w:p w:rsidR="00A0096B" w:rsidRDefault="00A0096B" w:rsidP="007C2C1B">
      <w:pPr>
        <w:spacing w:after="0"/>
        <w:jc w:val="both"/>
      </w:pPr>
    </w:p>
    <w:p w:rsidR="003D3DEB" w:rsidRDefault="003D3DEB" w:rsidP="007C2C1B">
      <w:pPr>
        <w:spacing w:after="0"/>
        <w:jc w:val="both"/>
      </w:pPr>
    </w:p>
    <w:p w:rsidR="00CB2709" w:rsidRDefault="00CB2709" w:rsidP="00E15439">
      <w:pPr>
        <w:spacing w:after="0"/>
      </w:pPr>
    </w:p>
    <w:p w:rsidR="000D6727" w:rsidRDefault="000D6727" w:rsidP="00E15439">
      <w:pPr>
        <w:spacing w:after="0"/>
      </w:pPr>
    </w:p>
    <w:p w:rsidR="004D5D0D" w:rsidRDefault="004D5D0D" w:rsidP="00E15439">
      <w:pPr>
        <w:spacing w:after="0"/>
      </w:pPr>
    </w:p>
    <w:p w:rsidR="00BE2A46" w:rsidRDefault="00BE2A46" w:rsidP="00E15439">
      <w:pPr>
        <w:spacing w:after="0"/>
      </w:pPr>
    </w:p>
    <w:p w:rsidR="00BE2A46" w:rsidRDefault="00BE2A46" w:rsidP="00E15439">
      <w:pPr>
        <w:spacing w:after="0"/>
      </w:pPr>
    </w:p>
    <w:p w:rsidR="00BE2A46" w:rsidRDefault="00BE2A46" w:rsidP="00E15439">
      <w:pPr>
        <w:spacing w:after="0"/>
      </w:pPr>
    </w:p>
    <w:p w:rsidR="003D4F15" w:rsidRDefault="003D4F15" w:rsidP="00E15439">
      <w:pPr>
        <w:spacing w:after="0"/>
      </w:pPr>
    </w:p>
    <w:p w:rsidR="006F53E7" w:rsidRDefault="006F53E7" w:rsidP="00E15439">
      <w:pPr>
        <w:spacing w:after="0"/>
      </w:pPr>
    </w:p>
    <w:p w:rsidR="004C41F4" w:rsidRDefault="004C41F4" w:rsidP="00E15439">
      <w:pPr>
        <w:spacing w:after="0"/>
      </w:pPr>
    </w:p>
    <w:sectPr w:rsidR="004C41F4" w:rsidSect="0051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7334"/>
    <w:multiLevelType w:val="hybridMultilevel"/>
    <w:tmpl w:val="930CB1E6"/>
    <w:lvl w:ilvl="0" w:tplc="E56E5B8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D66B8"/>
    <w:multiLevelType w:val="hybridMultilevel"/>
    <w:tmpl w:val="62A4918C"/>
    <w:lvl w:ilvl="0" w:tplc="30D0F0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439"/>
    <w:rsid w:val="0003010E"/>
    <w:rsid w:val="0006052B"/>
    <w:rsid w:val="000D6727"/>
    <w:rsid w:val="0010602B"/>
    <w:rsid w:val="001514BD"/>
    <w:rsid w:val="00172555"/>
    <w:rsid w:val="00173206"/>
    <w:rsid w:val="00197159"/>
    <w:rsid w:val="001C4420"/>
    <w:rsid w:val="00287267"/>
    <w:rsid w:val="003017F4"/>
    <w:rsid w:val="00353599"/>
    <w:rsid w:val="003636A7"/>
    <w:rsid w:val="003D3761"/>
    <w:rsid w:val="003D3DEB"/>
    <w:rsid w:val="003D4F15"/>
    <w:rsid w:val="004C41F4"/>
    <w:rsid w:val="004D5D0D"/>
    <w:rsid w:val="00514C6A"/>
    <w:rsid w:val="00551367"/>
    <w:rsid w:val="00592360"/>
    <w:rsid w:val="0063660E"/>
    <w:rsid w:val="006F53E7"/>
    <w:rsid w:val="00702D5B"/>
    <w:rsid w:val="007A0BD2"/>
    <w:rsid w:val="007C2C1B"/>
    <w:rsid w:val="007F1414"/>
    <w:rsid w:val="007F1AEE"/>
    <w:rsid w:val="007F6AEE"/>
    <w:rsid w:val="00911777"/>
    <w:rsid w:val="00941B15"/>
    <w:rsid w:val="00963C2A"/>
    <w:rsid w:val="009A799E"/>
    <w:rsid w:val="00A0096B"/>
    <w:rsid w:val="00A83210"/>
    <w:rsid w:val="00BE2A46"/>
    <w:rsid w:val="00C21923"/>
    <w:rsid w:val="00C22E7E"/>
    <w:rsid w:val="00CB2709"/>
    <w:rsid w:val="00D516C1"/>
    <w:rsid w:val="00DF250B"/>
    <w:rsid w:val="00E15439"/>
    <w:rsid w:val="00ED4E76"/>
    <w:rsid w:val="00F257D7"/>
    <w:rsid w:val="00FC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5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2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dcterms:created xsi:type="dcterms:W3CDTF">2010-10-13T13:15:00Z</dcterms:created>
  <dcterms:modified xsi:type="dcterms:W3CDTF">2010-10-13T14:15:00Z</dcterms:modified>
</cp:coreProperties>
</file>