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6B" w:rsidRPr="00B6708B" w:rsidRDefault="00C2096B" w:rsidP="0048270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fr-FR" w:eastAsia="ro-RO"/>
        </w:rPr>
      </w:pPr>
      <w:r w:rsidRPr="00B670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fr-FR" w:eastAsia="ro-RO"/>
        </w:rPr>
        <w:t xml:space="preserve">TP 3 : </w:t>
      </w:r>
      <w:r w:rsidRPr="00DA664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fr-FR" w:eastAsia="ro-RO"/>
        </w:rPr>
        <w:t>Prélèvement sanguin</w:t>
      </w:r>
      <w:r w:rsidRPr="00B670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fr-FR" w:eastAsia="ro-RO"/>
        </w:rPr>
        <w:t xml:space="preserve">, </w:t>
      </w:r>
      <w:proofErr w:type="spellStart"/>
      <w:r w:rsidRPr="00B670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fr-FR" w:eastAsia="ro-RO"/>
        </w:rPr>
        <w:t>dúrine</w:t>
      </w:r>
      <w:proofErr w:type="spellEnd"/>
      <w:r w:rsidRPr="00B6708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fr-FR" w:eastAsia="ro-RO"/>
        </w:rPr>
        <w:t>, de la salive</w:t>
      </w:r>
    </w:p>
    <w:p w:rsidR="00DA6643" w:rsidRPr="00DA6643" w:rsidRDefault="00DA6643" w:rsidP="0048270B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ro-RO"/>
        </w:rPr>
      </w:pPr>
      <w:r w:rsidRPr="00DA66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ro-RO"/>
        </w:rPr>
        <w:t>Prélèvement sanguin</w:t>
      </w:r>
    </w:p>
    <w:p w:rsidR="00DA6643" w:rsidRPr="00DA6643" w:rsidRDefault="00DA6643" w:rsidP="0048270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Le </w:t>
      </w:r>
      <w:r w:rsidRPr="00DA6643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o-RO"/>
        </w:rPr>
        <w:t>prélèvement sanguin</w:t>
      </w: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est un </w:t>
      </w:r>
      <w:hyperlink r:id="rId5" w:tooltip="Soin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soin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réalisable par un </w:t>
      </w:r>
      <w:hyperlink r:id="rId6" w:tooltip="Infirmier" w:history="1">
        <w:proofErr w:type="spellStart"/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infirmier</w:t>
        </w:r>
      </w:hyperlink>
      <w:proofErr w:type="gramStart"/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,un</w:t>
      </w:r>
      <w:proofErr w:type="spellEnd"/>
      <w:proofErr w:type="gramEnd"/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hyperlink r:id="rId7" w:tooltip="Technicien de laboratoir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technicien de laboratoire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ou un </w:t>
      </w:r>
      <w:hyperlink r:id="rId8" w:tooltip="Médecin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médecin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.</w:t>
      </w:r>
    </w:p>
    <w:p w:rsidR="00DA6643" w:rsidRPr="00DA6643" w:rsidRDefault="00DA6643" w:rsidP="0048270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Il permet de réaliser des examens de laboratoire sur un </w:t>
      </w:r>
      <w:hyperlink r:id="rId9" w:tooltip="Échantillon (statistiques)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échantillon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hyperlink r:id="rId10" w:tooltip="Sang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sang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prélevé par ponction </w:t>
      </w:r>
      <w:hyperlink r:id="rId11" w:tooltip="Vein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veineuse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ou </w:t>
      </w:r>
      <w:hyperlink r:id="rId12" w:tooltip="Artèr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artérielle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.</w:t>
      </w:r>
    </w:p>
    <w:p w:rsidR="00DA6643" w:rsidRPr="00DA6643" w:rsidRDefault="00DA6643" w:rsidP="0048270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</w:pPr>
      <w:r w:rsidRPr="0048270B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t>Déroulement du soin</w:t>
      </w:r>
      <w:r w:rsidRPr="00DA664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t xml:space="preserve"> </w:t>
      </w:r>
    </w:p>
    <w:p w:rsidR="00DA6643" w:rsidRPr="00DA6643" w:rsidRDefault="00DA6643" w:rsidP="0048270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La personne est accueillie, à </w:t>
      </w:r>
      <w:proofErr w:type="spellStart"/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jeûn</w:t>
      </w:r>
      <w:proofErr w:type="spellEnd"/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ou non, et répond à un formulaire. Le technicien procède ensuite au prélèvement d'un volume de sang déterminé au niveau d'un </w:t>
      </w:r>
      <w:hyperlink r:id="rId13" w:tooltip="Vaisseau sanguin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vaisseau sanguin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hyperlink r:id="rId14" w:tooltip="Vein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veineux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</w:t>
      </w:r>
      <w:hyperlink r:id="rId15" w:tooltip="Capillaire sanguin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capillaire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ou </w:t>
      </w:r>
      <w:hyperlink r:id="rId16" w:tooltip="Artèr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artériel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. Le </w:t>
      </w:r>
      <w:hyperlink r:id="rId17" w:tooltip="Sang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sang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est réparti dans différents tubes en respectant les priorités dues aux </w:t>
      </w:r>
      <w:hyperlink r:id="rId18" w:tooltip="Adjuvant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adjuvants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ceux-ci. Un </w:t>
      </w:r>
      <w:hyperlink r:id="rId19" w:tooltip="Pansement compressif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pansement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est ensuite placé au niveau du point de ponction.</w:t>
      </w:r>
    </w:p>
    <w:p w:rsidR="00DA6643" w:rsidRPr="00DA6643" w:rsidRDefault="00DA6643" w:rsidP="0048270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</w:pPr>
      <w:r w:rsidRPr="0048270B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t>Quels prélèvements sanguins doivent être réalisés à jeun ?</w:t>
      </w:r>
      <w:r w:rsidRPr="00DA664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t xml:space="preserve"> </w:t>
      </w:r>
    </w:p>
    <w:p w:rsidR="00DA6643" w:rsidRPr="00DA6643" w:rsidRDefault="00DA6643" w:rsidP="0048270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Le </w:t>
      </w:r>
      <w:hyperlink r:id="rId20" w:tooltip="Jeûn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jeûne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(12 heures) n'est impératif que pour le dosage de la </w:t>
      </w:r>
      <w:hyperlink r:id="rId21" w:tooltip="Glycémi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glycémie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et du bilan </w:t>
      </w:r>
      <w:hyperlink r:id="rId22" w:tooltip="Lipidiqu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lipidique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.</w:t>
      </w:r>
    </w:p>
    <w:p w:rsidR="00DA6643" w:rsidRPr="00DA6643" w:rsidRDefault="00DA6643" w:rsidP="0048270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Le jeûne est néanmoins conseillé pour les examens d'</w:t>
      </w:r>
      <w:proofErr w:type="spellStart"/>
      <w:r w:rsidR="00563016"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fldChar w:fldCharType="begin"/>
      </w: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instrText xml:space="preserve"> HYPERLINK "http://fr.wikipedia.org/wiki/Immunologie" \o "Immunologie" </w:instrText>
      </w:r>
      <w:r w:rsidR="00563016"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fldChar w:fldCharType="separate"/>
      </w:r>
      <w:r w:rsidRPr="00482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fr-FR" w:eastAsia="ro-RO"/>
        </w:rPr>
        <w:t>immuno</w:t>
      </w:r>
      <w:proofErr w:type="spellEnd"/>
      <w:r w:rsidR="00563016"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fldChar w:fldCharType="end"/>
      </w: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-</w:t>
      </w:r>
      <w:hyperlink r:id="rId23" w:tooltip="Enzymologi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enzymologie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.</w:t>
      </w:r>
    </w:p>
    <w:p w:rsidR="00DA6643" w:rsidRPr="00DA6643" w:rsidRDefault="00DA6643" w:rsidP="0048270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Le jeûne est également préférable pour les examens de </w:t>
      </w:r>
      <w:hyperlink r:id="rId24" w:tooltip="Sérologi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sérologie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, d'</w:t>
      </w:r>
      <w:hyperlink r:id="rId25" w:tooltip="Hématologi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hématologie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et d'</w:t>
      </w:r>
      <w:hyperlink r:id="rId26" w:tooltip="Hémostase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hémostase</w:t>
        </w:r>
      </w:hyperlink>
      <w:r w:rsidRPr="0048270B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vertAlign w:val="superscript"/>
          <w:lang w:val="fr-FR" w:eastAsia="ro-RO"/>
        </w:rPr>
        <w:t>]</w:t>
      </w:r>
    </w:p>
    <w:p w:rsidR="0048270B" w:rsidRDefault="0048270B" w:rsidP="0048270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</w:pPr>
    </w:p>
    <w:p w:rsidR="00DA6643" w:rsidRPr="00DA6643" w:rsidRDefault="00DA6643" w:rsidP="0048270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</w:pPr>
      <w:r w:rsidRPr="0048270B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lastRenderedPageBreak/>
        <w:t>Matériel</w:t>
      </w:r>
      <w:r w:rsidRPr="00DA664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t xml:space="preserve"> </w:t>
      </w:r>
    </w:p>
    <w:p w:rsidR="00DA6643" w:rsidRPr="00DA6643" w:rsidRDefault="00563016" w:rsidP="00482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27" w:tooltip="Compress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Compresses</w:t>
        </w:r>
      </w:hyperlink>
      <w:r w:rsidR="00DA6643"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et </w:t>
      </w:r>
      <w:hyperlink r:id="rId28" w:tooltip="Ouat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ouate</w:t>
        </w:r>
      </w:hyperlink>
    </w:p>
    <w:p w:rsidR="00DA6643" w:rsidRPr="00DA6643" w:rsidRDefault="00563016" w:rsidP="00482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29" w:tooltip="Garrot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Garrot</w:t>
        </w:r>
      </w:hyperlink>
    </w:p>
    <w:p w:rsidR="00DA6643" w:rsidRPr="00DA6643" w:rsidRDefault="00563016" w:rsidP="00482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30" w:tooltip="Antiseptiqu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Antiseptique</w:t>
        </w:r>
      </w:hyperlink>
    </w:p>
    <w:p w:rsidR="00DA6643" w:rsidRPr="00DA6643" w:rsidRDefault="00563016" w:rsidP="00482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31" w:tooltip="Gant médical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Gants non stériles</w:t>
        </w:r>
      </w:hyperlink>
    </w:p>
    <w:p w:rsidR="00DA6643" w:rsidRPr="00DA6643" w:rsidRDefault="00563016" w:rsidP="00482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32" w:tooltip="Aiguille hypodermiqu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Aiguille</w:t>
        </w:r>
      </w:hyperlink>
    </w:p>
    <w:p w:rsidR="00DA6643" w:rsidRPr="00DA6643" w:rsidRDefault="00DA6643" w:rsidP="00482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Tubes de prélèvement sanguin (tube sec, tube </w:t>
      </w:r>
      <w:hyperlink r:id="rId33" w:tooltip="Citrate" w:history="1">
        <w:proofErr w:type="spellStart"/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citraté</w:t>
        </w:r>
        <w:proofErr w:type="spellEnd"/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tube </w:t>
      </w:r>
      <w:hyperlink r:id="rId34" w:tooltip="EDTA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EDTA</w:t>
        </w:r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tube </w:t>
      </w:r>
      <w:hyperlink r:id="rId35" w:tooltip="Heparine" w:history="1">
        <w:proofErr w:type="spellStart"/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hépariné</w:t>
        </w:r>
        <w:proofErr w:type="spellEnd"/>
      </w:hyperlink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</w:t>
      </w:r>
      <w:hyperlink r:id="rId36" w:tooltip="Vacutainer" w:history="1">
        <w:proofErr w:type="spellStart"/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Vacutainer</w:t>
        </w:r>
        <w:proofErr w:type="spellEnd"/>
      </w:hyperlink>
    </w:p>
    <w:p w:rsidR="00DA6643" w:rsidRPr="00DA6643" w:rsidRDefault="00DA6643" w:rsidP="0048270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tubes pour analyse standards ("à hémolyse"), tube spécifiques ou tubes pour micro-méthode, </w:t>
      </w:r>
      <w:hyperlink r:id="rId37" w:tooltip="Microtube" w:history="1">
        <w:proofErr w:type="spellStart"/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microtubes</w:t>
        </w:r>
        <w:proofErr w:type="spellEnd"/>
      </w:hyperlink>
    </w:p>
    <w:p w:rsidR="00DA6643" w:rsidRPr="00DA6643" w:rsidRDefault="00DA6643" w:rsidP="0048270B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</w:pPr>
      <w:r w:rsidRPr="0048270B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t>Examens courants réalisables</w:t>
      </w:r>
      <w:r w:rsidRPr="00DA6643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ro-RO"/>
        </w:rPr>
        <w:t xml:space="preserve"> </w:t>
      </w:r>
    </w:p>
    <w:p w:rsidR="00DA6643" w:rsidRPr="00DA6643" w:rsidRDefault="00563016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38" w:tooltip="Ionogramm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Ionogramme</w:t>
        </w:r>
      </w:hyperlink>
    </w:p>
    <w:p w:rsidR="00DA6643" w:rsidRPr="00DA6643" w:rsidRDefault="00563016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39" w:tooltip="Gaz du sang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Gazométrie</w:t>
        </w:r>
      </w:hyperlink>
      <w:r w:rsidR="00DA6643"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à l'aide d'un échantillon de </w:t>
      </w:r>
      <w:hyperlink r:id="rId40" w:tooltip="Sang artériel (page inexistante)" w:history="1">
        <w:r w:rsidR="00DA6643" w:rsidRPr="0048270B">
          <w:rPr>
            <w:rFonts w:ascii="Times New Roman" w:eastAsia="Times New Roman" w:hAnsi="Times New Roman" w:cs="Times New Roman"/>
            <w:color w:val="CC2200"/>
            <w:sz w:val="28"/>
            <w:szCs w:val="28"/>
            <w:u w:val="single"/>
            <w:lang w:val="fr-FR" w:eastAsia="ro-RO"/>
          </w:rPr>
          <w:t>sang artériel</w:t>
        </w:r>
      </w:hyperlink>
    </w:p>
    <w:p w:rsidR="00DA6643" w:rsidRPr="00DA6643" w:rsidRDefault="00563016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41" w:tooltip="Coagulation sanguin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Coagulation</w:t>
        </w:r>
      </w:hyperlink>
      <w:r w:rsidR="00DA6643"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et </w:t>
      </w:r>
      <w:hyperlink r:id="rId42" w:tooltip="Temps de prothrombin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Temps de prothrombine</w:t>
        </w:r>
      </w:hyperlink>
    </w:p>
    <w:p w:rsidR="00DA6643" w:rsidRPr="00DA6643" w:rsidRDefault="00563016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43" w:tooltip="Numération formule sanguin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Numération formule sanguine</w:t>
        </w:r>
      </w:hyperlink>
    </w:p>
    <w:p w:rsidR="00DA6643" w:rsidRPr="00DA6643" w:rsidRDefault="00563016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44" w:tooltip="Hémocultur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Hémoculture</w:t>
        </w:r>
      </w:hyperlink>
      <w:r w:rsidR="00DA6643" w:rsidRPr="00DA6643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- </w:t>
      </w:r>
      <w:hyperlink r:id="rId45" w:tooltip="Vitesse de sédimentation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Vitesse de sédimentation</w:t>
        </w:r>
      </w:hyperlink>
    </w:p>
    <w:p w:rsidR="00DA6643" w:rsidRPr="00DA6643" w:rsidRDefault="00563016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46" w:tooltip="Marqueur tumoral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Marqueur tumoral</w:t>
        </w:r>
      </w:hyperlink>
    </w:p>
    <w:p w:rsidR="00DA6643" w:rsidRPr="001D6CD8" w:rsidRDefault="00563016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hyperlink r:id="rId47" w:tooltip="Sérologie" w:history="1">
        <w:r w:rsidR="00DA6643"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fr-FR" w:eastAsia="ro-RO"/>
          </w:rPr>
          <w:t>Sérologie</w:t>
        </w:r>
      </w:hyperlink>
    </w:p>
    <w:p w:rsidR="001D6CD8" w:rsidRPr="001D6CD8" w:rsidRDefault="001D6CD8" w:rsidP="0048270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fr-FR" w:eastAsia="ro-RO"/>
        </w:rPr>
      </w:pPr>
      <w:r w:rsidRPr="001D6CD8">
        <w:rPr>
          <w:color w:val="FF0000"/>
          <w:sz w:val="28"/>
          <w:szCs w:val="28"/>
        </w:rPr>
        <w:t>Analyses biochimiques</w:t>
      </w:r>
      <w:r w:rsidR="00946B26">
        <w:rPr>
          <w:color w:val="FF0000"/>
          <w:sz w:val="28"/>
          <w:szCs w:val="28"/>
        </w:rPr>
        <w:t xml:space="preserve"> : dosages enzymatiques, lipidograme, l’uree, creatinine,etc. </w:t>
      </w:r>
    </w:p>
    <w:p w:rsidR="00C2096B" w:rsidRPr="0048270B" w:rsidRDefault="00C2096B" w:rsidP="00482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096B" w:rsidRPr="0048270B" w:rsidRDefault="00C2096B" w:rsidP="00482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643" w:rsidRPr="0048270B" w:rsidRDefault="00DA6643" w:rsidP="00482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prélèvement de sang par ponction veineuse</w:t>
      </w:r>
    </w:p>
    <w:p w:rsidR="00DA6643" w:rsidRPr="0048270B" w:rsidRDefault="00DA6643" w:rsidP="004827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Définition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La ponction veineuse est le prélèvement d'un échantillon de sang veineux afin de réaliser une analyse de</w:t>
      </w:r>
      <w:r w:rsidR="00C2096B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biologie médicale.</w:t>
      </w:r>
    </w:p>
    <w:p w:rsidR="00DA6643" w:rsidRPr="0048270B" w:rsidRDefault="00DA6643" w:rsidP="004827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Indications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Dépister des troubles biologiques.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Aider au diagnostic.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Suivre l'évolution d'un traitement ou d'une maladie.</w:t>
      </w:r>
    </w:p>
    <w:p w:rsidR="00DA6643" w:rsidRPr="0048270B" w:rsidRDefault="00DA6643" w:rsidP="004827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Matériel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Système de prélèvement :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Corps de pompe à usage unique (vacutainer).</w:t>
      </w:r>
    </w:p>
    <w:p w:rsidR="00DA6643" w:rsidRPr="0048270B" w:rsidRDefault="00DA6643" w:rsidP="0048270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Aiguille à monter s'adaptant au corps de pompe.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._ Seringue stérile et aiguille.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Tube(s) de prélèvement sous vide pour analyses.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Antiseptique ou alcool modifié à 70°.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Compresses non stériles ou boules de coton.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Garrot.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Protection papier absorbante à usage unique.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Gants non stériles à usage unique.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Etiquettes laboratoire d'identification patient.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Bons d'analyses laboratoire, avec pochette de transport.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Sac à élimination des déchets.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Conteneur à déchets contaminés piquants et tranchants.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Désinfectant de surface et chiffonnette.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Nécessaire à l'hygiène des mains.</w:t>
      </w:r>
    </w:p>
    <w:p w:rsidR="00DA6643" w:rsidRPr="0048270B" w:rsidRDefault="00DA6643" w:rsidP="004827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Réalisation du soin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Vérifier la prescription médicale.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Vérifier la concordance entre la prescription médicale et le choix des tubes d"analyses.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Prévenir le patient du soin.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Installer le matériel après vérification des dates de péremptions et de l'intégrité des emballages.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Installation sur une surface propre et désinfectée au préalable.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lastRenderedPageBreak/>
        <w:t>_ Installer le réniforme et le container à déchets contaminés piquants loin du matériel propre.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Mettre le garrot 10 cm au-dessus du point de ponction et vérifier la présence d'un pouls pouls artérielen contrebas (pouls radial), sinon, risque de thrombose.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La pose du garrot durant plus de 3 minutes peut modifier les résultats d'analyse car puisqu'il y a un</w:t>
      </w:r>
      <w:r w:rsidR="00C2096B" w:rsidRPr="00482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2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risque d'hémolyse des globules.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Choisir la veine à ponctionner.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Favoriser la vasodilatation de la veine, ce qui rend le geste plus facile :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Demander au patient de serrer le poing.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Mettre le bras en déclive.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Tapoter la veine.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Mettre un linge chaud sur l’avant bras (si nécessaire)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Mettre la protection sous la zone de ponction.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Effectuer un lavage antiseptique des mains ou effectuer un traitement hygiénique des mains par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frictions avec une solution hydro-alcoolique puisqu'il s'agit d'une geste invasif : </w:t>
      </w:r>
      <w:r w:rsidRPr="0048270B">
        <w:rPr>
          <w:rFonts w:ascii="Times New Roman" w:hAnsi="Times New Roman" w:cs="Times New Roman"/>
          <w:color w:val="6B6867"/>
          <w:sz w:val="28"/>
          <w:szCs w:val="28"/>
        </w:rPr>
        <w:t>hygiène des mains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Mettre les gants non stériles pour diminuer le risque d'exposition au sang.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Introduire l'aiguille sous un angle de 30°, biseau vers le haut, dans la veine, puis abaisser légèrement</w:t>
      </w:r>
      <w:r w:rsidR="00C2096B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l'aiguille parallèlement à la peau et pénétrer doucement la veine.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Maintenir et immobiliser le corps de prélèvement avec le pouce et l'index de la main dominante.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Introduire les tubes de prélèvements avec la main non dominante selon un ordre précis (critère de bon</w:t>
      </w:r>
      <w:r w:rsidR="00C2096B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prélèvement) : voir la fiche </w:t>
      </w:r>
      <w:r w:rsidRPr="0048270B">
        <w:rPr>
          <w:rFonts w:ascii="Times New Roman" w:hAnsi="Times New Roman" w:cs="Times New Roman"/>
          <w:color w:val="6B6867"/>
          <w:sz w:val="28"/>
          <w:szCs w:val="28"/>
        </w:rPr>
        <w:t>Ordre de prélèvement des tubes d'analyses biologiques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lastRenderedPageBreak/>
        <w:t>_ Pendant que le tube se remplit, homogénéiser le tube précédent par des retournements lents (pour ne</w:t>
      </w:r>
      <w:r w:rsidR="00C2096B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pas lyser les globules) à 180° :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Tubes avec gels : 5 retournements.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Autres tubes : 8 à 10 retournements.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Enlever le tube du corps de prélèvement.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Tout en maintenant l'aiguille (sans présence de tube), desserrer le garrot d'une main.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Demander au patient de desserrer le poing.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Retirer l'aiguille et comprimer le point de ponction pour éviter un hématome.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C2096B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Jeter immédiatement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l'aiguille dans le container à déchets contaminés piquants.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Enlever et jeter les gants.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Mettre un pansement.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Eliminer les déchets et désinfecter le matériel utilisé.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Effectuer un lavage simple des mains ou effectuer un traitement hygiénique des mains par frictions</w:t>
      </w:r>
      <w:r w:rsidR="00F07D8E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avec une solution hydro-alcoolique : </w:t>
      </w:r>
      <w:r w:rsidRPr="0048270B">
        <w:rPr>
          <w:rFonts w:ascii="Times New Roman" w:hAnsi="Times New Roman" w:cs="Times New Roman"/>
          <w:color w:val="6B6867"/>
          <w:sz w:val="28"/>
          <w:szCs w:val="28"/>
        </w:rPr>
        <w:t>hygiène des mains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Vérifier la concordance des étiquettes et de l'identité du patient puis étiqueter les tubes d'analyses,</w:t>
      </w:r>
      <w:r w:rsidR="00F07D8E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remplir les bons d'analyse et acheminer les tubes au laboratoire d'analyse.</w:t>
      </w:r>
    </w:p>
    <w:p w:rsidR="00DA6643" w:rsidRPr="0048270B" w:rsidRDefault="00DA6643" w:rsidP="004827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Risques et complications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Hématome au point de ponction : bien comprimer le point de ponction après le prélèvement.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Défaut de reflux du sang : non ponction de la veine, transpercement de la veine, veine trop ou pas</w:t>
      </w:r>
      <w:r w:rsidR="00F07D8E"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70B">
        <w:rPr>
          <w:rFonts w:ascii="Times New Roman" w:hAnsi="Times New Roman" w:cs="Times New Roman"/>
          <w:color w:val="000000"/>
          <w:sz w:val="28"/>
          <w:szCs w:val="28"/>
        </w:rPr>
        <w:t>assez comprimée.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Douleur.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>_ Malaise vagal : stopper le soin, mettre le patient en déclive.</w:t>
      </w:r>
    </w:p>
    <w:p w:rsidR="00DA6643" w:rsidRPr="0048270B" w:rsidRDefault="00DA6643" w:rsidP="004827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Surveillance</w:t>
      </w:r>
    </w:p>
    <w:p w:rsidR="00DA6643" w:rsidRPr="0048270B" w:rsidRDefault="00DA6643" w:rsidP="0048270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lastRenderedPageBreak/>
        <w:t>_ Surveillance du point de ponction.</w:t>
      </w:r>
    </w:p>
    <w:p w:rsidR="002252E6" w:rsidRPr="0048270B" w:rsidRDefault="00DA6643" w:rsidP="004827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dxa"/>
        <w:jc w:val="center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7478"/>
      </w:tblGrid>
      <w:tr w:rsidR="008E2E88" w:rsidRPr="0048270B" w:rsidTr="008E2E8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07D8E" w:rsidRPr="0048270B" w:rsidRDefault="00F07D8E" w:rsidP="0048270B">
            <w:pPr>
              <w:pStyle w:val="Heading1"/>
              <w:spacing w:line="360" w:lineRule="auto"/>
            </w:pPr>
          </w:p>
          <w:p w:rsidR="008E2E88" w:rsidRPr="0048270B" w:rsidRDefault="008E2E88" w:rsidP="0048270B">
            <w:pPr>
              <w:pStyle w:val="Heading1"/>
              <w:spacing w:line="360" w:lineRule="auto"/>
              <w:rPr>
                <w:color w:val="41A6BC"/>
                <w:sz w:val="33"/>
                <w:szCs w:val="33"/>
              </w:rPr>
            </w:pPr>
            <w:r w:rsidRPr="0048270B">
              <w:t xml:space="preserve">Ponction artérielle pour gaz du sang </w:t>
            </w:r>
          </w:p>
        </w:tc>
      </w:tr>
    </w:tbl>
    <w:p w:rsidR="008E2E88" w:rsidRPr="0048270B" w:rsidRDefault="008E2E88" w:rsidP="0048270B">
      <w:pPr>
        <w:spacing w:line="360" w:lineRule="auto"/>
        <w:jc w:val="center"/>
        <w:rPr>
          <w:rFonts w:ascii="Times New Roman" w:hAnsi="Times New Roman" w:cs="Times New Roman"/>
          <w:vanish/>
          <w:color w:val="2C2C2C"/>
          <w:sz w:val="17"/>
          <w:szCs w:val="17"/>
        </w:rPr>
      </w:pPr>
    </w:p>
    <w:tbl>
      <w:tblPr>
        <w:tblW w:w="4949" w:type="pct"/>
        <w:jc w:val="center"/>
        <w:tblCellSpacing w:w="1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6"/>
        <w:gridCol w:w="7360"/>
        <w:gridCol w:w="66"/>
        <w:gridCol w:w="1547"/>
      </w:tblGrid>
      <w:tr w:rsidR="008E2E88" w:rsidRPr="0048270B" w:rsidTr="00F07D8E">
        <w:trPr>
          <w:gridBefore w:val="1"/>
          <w:gridAfter w:val="1"/>
          <w:wBefore w:w="11" w:type="pct"/>
          <w:wAfter w:w="822" w:type="pct"/>
          <w:tblCellSpacing w:w="15" w:type="dxa"/>
          <w:jc w:val="center"/>
        </w:trPr>
        <w:tc>
          <w:tcPr>
            <w:tcW w:w="4102" w:type="pct"/>
            <w:gridSpan w:val="2"/>
            <w:hideMark/>
          </w:tcPr>
          <w:p w:rsidR="008E2E88" w:rsidRPr="0048270B" w:rsidRDefault="00F07D8E" w:rsidP="0048270B">
            <w:pPr>
              <w:pStyle w:val="NormalWeb"/>
              <w:spacing w:line="360" w:lineRule="auto"/>
              <w:rPr>
                <w:color w:val="2C2C2C"/>
                <w:sz w:val="28"/>
                <w:szCs w:val="28"/>
              </w:rPr>
            </w:pPr>
            <w:r w:rsidRPr="0048270B">
              <w:rPr>
                <w:color w:val="2C2C2C"/>
                <w:sz w:val="28"/>
                <w:szCs w:val="28"/>
              </w:rPr>
              <w:t xml:space="preserve">  </w:t>
            </w:r>
            <w:r w:rsidR="008E2E88" w:rsidRPr="0048270B">
              <w:rPr>
                <w:color w:val="2C2C2C"/>
                <w:sz w:val="28"/>
                <w:szCs w:val="28"/>
              </w:rPr>
              <w:t>C’est une ponction à but diagnostic qui permet d’étudier les gaz du sang artériels et permet ainsi de surveiller l’hématose du patient.</w:t>
            </w:r>
          </w:p>
          <w:p w:rsidR="008E2E88" w:rsidRPr="0048270B" w:rsidRDefault="008E2E88" w:rsidP="0048270B">
            <w:pPr>
              <w:pStyle w:val="Heading2"/>
              <w:spacing w:line="360" w:lineRule="auto"/>
              <w:rPr>
                <w:color w:val="41A6BC"/>
                <w:sz w:val="27"/>
                <w:szCs w:val="27"/>
              </w:rPr>
            </w:pPr>
            <w:r w:rsidRPr="0048270B">
              <w:t>MATÉRIEL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gants à usage unique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nécessaire à rasage si besoin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crè</w:t>
            </w:r>
            <w:r w:rsidR="00F07D8E"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 xml:space="preserve">me anesthésique si besoin 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antiseptique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matériel stérile (aiguille intra – veineuse, seringue à usage unique de 3 ml héparinée, compresses stériles)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ruban adhésif (petit élasto)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container à aiguilles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glace pour le transport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étiquettes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 poubelle</w:t>
            </w:r>
          </w:p>
          <w:p w:rsidR="008E2E88" w:rsidRPr="0048270B" w:rsidRDefault="008E2E88" w:rsidP="0048270B">
            <w:pPr>
              <w:pStyle w:val="Heading3"/>
              <w:spacing w:line="360" w:lineRule="auto"/>
              <w:rPr>
                <w:rFonts w:ascii="Times New Roman" w:hAnsi="Times New Roman" w:cs="Times New Roman"/>
                <w:color w:val="41A6B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sz w:val="28"/>
                <w:szCs w:val="28"/>
              </w:rPr>
              <w:t>Ponction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Se laver les mains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Préparer le matériel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lastRenderedPageBreak/>
              <w:t>Asepsie de la zone à ponctionner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Mettre les gants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Repérer l’artère radiale à 2 doigts et en tendant le poignet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Percevoir l’artère avec ses 2 doigts et ponctionner obliquement à 45 °, la pointe de l’aiguille face au courant artériel.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Ponctionner progressivement jusqu’à l’apparition de sang rouge dans la seringue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Prélever 2 à 3 ml de sang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Retirer l’aiguille et comprimer immédiatement l’artère pendant 5 min avec une compresse imbibée d’antiseptique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Avec l’autre main, planter l’aiguille dans le morceau de caoutchouc prévu à cet effet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Poser un pansement compressif non circulaire sur l’artère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Préparer la seringue dans un sachet avec de la glace et le bon de labo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Se laver les mains</w:t>
            </w:r>
          </w:p>
          <w:p w:rsidR="008E2E88" w:rsidRPr="0048270B" w:rsidRDefault="008E2E88" w:rsidP="0048270B">
            <w:pPr>
              <w:numPr>
                <w:ilvl w:val="1"/>
                <w:numId w:val="5"/>
              </w:numPr>
              <w:spacing w:before="120" w:after="0" w:line="360" w:lineRule="auto"/>
              <w:ind w:left="375"/>
              <w:rPr>
                <w:rFonts w:ascii="Times New Roman" w:hAnsi="Times New Roman" w:cs="Times New Roman"/>
                <w:color w:val="2C2C2C"/>
                <w:sz w:val="28"/>
                <w:szCs w:val="28"/>
              </w:rPr>
            </w:pPr>
            <w:r w:rsidRPr="0048270B">
              <w:rPr>
                <w:rFonts w:ascii="Times New Roman" w:hAnsi="Times New Roman" w:cs="Times New Roman"/>
                <w:color w:val="2C2C2C"/>
                <w:sz w:val="28"/>
                <w:szCs w:val="28"/>
              </w:rPr>
              <w:t>Transmissions et transport de la seringue au labo immédiatement</w:t>
            </w:r>
          </w:p>
          <w:p w:rsidR="008E2E88" w:rsidRPr="0048270B" w:rsidRDefault="00563016" w:rsidP="0048270B">
            <w:pPr>
              <w:spacing w:line="360" w:lineRule="auto"/>
              <w:jc w:val="center"/>
              <w:rPr>
                <w:rFonts w:ascii="Times New Roman" w:hAnsi="Times New Roman" w:cs="Times New Roman"/>
                <w:color w:val="2C2C2C"/>
                <w:sz w:val="20"/>
                <w:szCs w:val="20"/>
              </w:rPr>
            </w:pPr>
            <w:r w:rsidRPr="00563016">
              <w:rPr>
                <w:rFonts w:ascii="Times New Roman" w:hAnsi="Times New Roman" w:cs="Times New Roman"/>
                <w:color w:val="2C2C2C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5A1B34" w:rsidRPr="005A1B34" w:rsidTr="00F07D8E">
        <w:tblPrEx>
          <w:jc w:val="left"/>
          <w:tblCellSpacing w:w="0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093" w:type="pct"/>
            <w:gridSpan w:val="2"/>
            <w:shd w:val="clear" w:color="auto" w:fill="FFFFFF"/>
            <w:vAlign w:val="center"/>
            <w:hideMark/>
          </w:tcPr>
          <w:p w:rsidR="005A1B34" w:rsidRPr="005A1B34" w:rsidRDefault="005A1B34" w:rsidP="004827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7" w:type="pct"/>
            <w:gridSpan w:val="2"/>
            <w:shd w:val="clear" w:color="auto" w:fill="FFFFFF"/>
            <w:vAlign w:val="center"/>
            <w:hideMark/>
          </w:tcPr>
          <w:p w:rsidR="005A1B34" w:rsidRPr="005A1B34" w:rsidRDefault="005A1B34" w:rsidP="0048270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5A1B34" w:rsidRPr="005A1B34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32"/>
          <w:szCs w:val="32"/>
          <w:lang w:eastAsia="ro-RO"/>
        </w:rPr>
        <w:t> </w:t>
      </w:r>
      <w:r w:rsidR="00F07D8E" w:rsidRPr="005A1B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o-RO"/>
        </w:rPr>
        <w:t>PRÉLÈVEMENT D'URINE</w:t>
      </w:r>
    </w:p>
    <w:p w:rsidR="005A1B34" w:rsidRPr="005A1B34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Le prélèvement d'urine peut permettre d'effectuer : </w:t>
      </w:r>
    </w:p>
    <w:p w:rsidR="005A1B34" w:rsidRPr="005A1B34" w:rsidRDefault="005A1B34" w:rsidP="0048270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l'analyse biochimique de l'urine par 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begin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instrText xml:space="preserve"> HYPERLINK "http://www.bioltrop.cooperaction.org/13-techbioche/bandelettes-urinaires.htm" </w:instrTex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separate"/>
      </w:r>
      <w:r w:rsidRPr="00482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o-RO"/>
        </w:rPr>
        <w:t>bandelettes urinaires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end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A1B34" w:rsidRPr="005A1B34" w:rsidRDefault="005A1B34" w:rsidP="0048270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l'analyse cytologique du 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begin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instrText xml:space="preserve"> HYPERLINK "http://www.bioltrop.cooperaction.org/15-techbacterio/culot-urinaire.htm" </w:instrTex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separate"/>
      </w:r>
      <w:r w:rsidRPr="00482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o-RO"/>
        </w:rPr>
        <w:t>culot urinaire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end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A1B34" w:rsidRPr="005A1B34" w:rsidRDefault="005A1B34" w:rsidP="0048270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lastRenderedPageBreak/>
        <w:t xml:space="preserve">certaines </w:t>
      </w:r>
      <w:hyperlink r:id="rId48" w:history="1">
        <w:r w:rsidRPr="004827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o-RO"/>
          </w:rPr>
          <w:t>analyses biochimiques</w:t>
        </w:r>
      </w:hyperlink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. </w:t>
      </w:r>
    </w:p>
    <w:p w:rsidR="005A1B34" w:rsidRPr="005A1B34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Dans tous les cas le prélèvement doit être effectué avec soin.</w:t>
      </w:r>
    </w:p>
    <w:p w:rsidR="005A1B34" w:rsidRPr="005A1B34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o-RO"/>
        </w:rPr>
        <w:t>Matériel :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Un flacon pour analyse d'urine ou à défaut un récipient fermé propre et sec. </w:t>
      </w:r>
    </w:p>
    <w:p w:rsidR="005A1B34" w:rsidRPr="005A1B34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o-RO"/>
        </w:rPr>
        <w:t>Mode opératoire :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A1B34" w:rsidRPr="005A1B34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Le recueil des urines a lieu sur les urines du matin et avant tout traitement anti-infectieux.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Le patient commence à uriner, puis, </w:t>
      </w:r>
      <w:r w:rsidRPr="005A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sans cesser d'uriner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il approche le flacon du jet, le remplit et, </w:t>
      </w:r>
      <w:r w:rsidRPr="005A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toujours sans cesser d'uriner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le retire du jet, ferme le flacon, se lave les mains et rince l'extérieur du récipient.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Ce moyen de recueil permet d'obtenir une urine la plus proche possible de l'urine vésicale, et débarrassée des souillures que l'urètre peut contenir.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On peut dans certains cas demander spécialement une analyse sur l'urine premier jet, dans ce cas le patient commence à uriner directement dans le flacon. Ce mode de recueil est considéré comme un 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begin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instrText xml:space="preserve"> HYPERLINK "http://www.bioltrop.cooperaction.org/10-prelevement/prelevement-uretral.htm" </w:instrTex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separate"/>
      </w:r>
      <w:r w:rsidRPr="00482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o-RO"/>
        </w:rPr>
        <w:t>prélèvement urétral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end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. </w:t>
      </w:r>
    </w:p>
    <w:p w:rsidR="005A1B34" w:rsidRPr="005A1B34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bookmarkStart w:id="0" w:name="jour"/>
      <w:bookmarkEnd w:id="0"/>
      <w:r w:rsidRPr="005A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o-RO"/>
        </w:rPr>
        <w:t>Prélèvement des urines de 24 heures :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5A1B34" w:rsidRPr="0048270B" w:rsidRDefault="005A1B34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Pour mesurer la 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begin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instrText xml:space="preserve"> HYPERLINK "http://www.bioltrop.cooperaction.org/13-techbioche/clairance-creatinine.htm" </w:instrTex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separate"/>
      </w:r>
      <w:r w:rsidRPr="00482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o-RO"/>
        </w:rPr>
        <w:t>clairance de la créatinine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end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ou exprimer la 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begin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instrText xml:space="preserve"> HYPERLINK "http://www.bioltrop.cooperaction.org/13-techbioche/dosage-protur-LCR.htm" </w:instrTex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separate"/>
      </w:r>
      <w:r w:rsidRPr="00482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o-RO"/>
        </w:rPr>
        <w:t>protéinurie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end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en mg/jour, on pratique un prélèvement d'urine de 24 heures. Il est donc préférable que le malade reste une journée et deux nuit à proximité du laboratoire, ou qu'il effectue ce prélèvement chez lui, si on lui a bien expliqué.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Le matin, faire uriner le malades dans les latrines. Il doit boire normalement pendant l'épreuve.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Recueillir ensuite dans une grande jarre (minimum 3 litres) toutes les urines de la journée, de la nuit et enfin celles du petit matin au réveil.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Boucher la jarre, puis l'agiter. Mesurer précisément le volume en ml grâce à une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lastRenderedPageBreak/>
        <w:t xml:space="preserve">éprouvette graduée en plastique de 2000 ml. </w:t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br/>
        <w:t xml:space="preserve">Procéder ensuite à un 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begin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instrText xml:space="preserve"> HYPERLINK "http://www.bioltrop.cooperaction.org/13-techbioche/dosage-creatinine.htm" </w:instrTex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separate"/>
      </w:r>
      <w:r w:rsidRPr="00482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o-RO"/>
        </w:rPr>
        <w:t>dosage de la créatinine urinaire.</w:t>
      </w:r>
      <w:r w:rsidR="00563016"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fldChar w:fldCharType="end"/>
      </w:r>
      <w:r w:rsidRP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F07D8E" w:rsidRPr="0048270B" w:rsidRDefault="00F07D8E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</w:p>
    <w:p w:rsidR="00F07D8E" w:rsidRPr="005A1B34" w:rsidRDefault="00F07D8E" w:rsidP="00482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o-RO"/>
        </w:rPr>
      </w:pPr>
      <w:r w:rsidRPr="0048270B">
        <w:rPr>
          <w:rFonts w:ascii="Times New Roman" w:hAnsi="Times New Roman" w:cs="Times New Roman"/>
          <w:b/>
          <w:sz w:val="32"/>
          <w:szCs w:val="32"/>
          <w:lang w:val="de-DE"/>
        </w:rPr>
        <w:t>Le prélèvement de salive</w:t>
      </w:r>
    </w:p>
    <w:p w:rsidR="0037270D" w:rsidRPr="0048270B" w:rsidRDefault="0037270D" w:rsidP="0048270B">
      <w:pPr>
        <w:pStyle w:val="NormalWeb"/>
        <w:spacing w:line="360" w:lineRule="auto"/>
        <w:rPr>
          <w:sz w:val="28"/>
          <w:szCs w:val="28"/>
          <w:lang w:val="de-DE"/>
        </w:rPr>
      </w:pPr>
      <w:r w:rsidRPr="0048270B">
        <w:rPr>
          <w:sz w:val="28"/>
          <w:szCs w:val="28"/>
          <w:lang w:val="de-DE"/>
        </w:rPr>
        <w:t xml:space="preserve">Le prélèvement de salive à des fins d’analyse revêt une importance croissante. La simplicité de son prélèvement ainsi que sa disponibilité permanente font de la salive une alternative intéressante à d’autres prélèvements.  </w:t>
      </w:r>
    </w:p>
    <w:p w:rsidR="0037270D" w:rsidRPr="0048270B" w:rsidRDefault="0037270D" w:rsidP="0048270B">
      <w:pPr>
        <w:pStyle w:val="NormalWeb"/>
        <w:spacing w:line="360" w:lineRule="auto"/>
        <w:rPr>
          <w:sz w:val="28"/>
          <w:szCs w:val="28"/>
          <w:lang w:val="de-DE"/>
        </w:rPr>
      </w:pPr>
      <w:r w:rsidRPr="0048270B">
        <w:rPr>
          <w:sz w:val="28"/>
          <w:szCs w:val="28"/>
          <w:lang w:val="de-DE"/>
        </w:rPr>
        <w:t xml:space="preserve">Le prélèvement d’échantillons de salive étant simple et non invasif, il peut être considéré comme une alternative sans désagrément au prélèvement sanguin. En revanche, en tant que médium à analytes, la salive est sujette à d’importantes variations de sa quantité et de sa composition, elle est accompagnée d’une flore microbienne et peut être contaminée par des résidus alimentaires.  </w:t>
      </w:r>
    </w:p>
    <w:p w:rsidR="0037270D" w:rsidRPr="0048270B" w:rsidRDefault="0037270D" w:rsidP="0048270B">
      <w:pPr>
        <w:pStyle w:val="NormalWeb"/>
        <w:spacing w:line="360" w:lineRule="auto"/>
        <w:rPr>
          <w:sz w:val="28"/>
          <w:szCs w:val="28"/>
          <w:lang w:val="de-DE"/>
        </w:rPr>
      </w:pPr>
      <w:r w:rsidRPr="0048270B">
        <w:rPr>
          <w:sz w:val="28"/>
          <w:szCs w:val="28"/>
          <w:lang w:val="de-DE"/>
        </w:rPr>
        <w:t xml:space="preserve">Jusqu’à présent, le problème par rapport à la salive était que la quantité de l’échantillon prélevé était sujette à des variations. Il était donc difficile de déterminer la quantité de salive pour l’analyse. Par conséquent, </w:t>
      </w:r>
      <w:r w:rsidR="001D6CD8">
        <w:rPr>
          <w:sz w:val="28"/>
          <w:szCs w:val="28"/>
          <w:lang w:val="de-DE"/>
        </w:rPr>
        <w:t xml:space="preserve">les </w:t>
      </w:r>
      <w:r w:rsidRPr="0048270B">
        <w:rPr>
          <w:sz w:val="28"/>
          <w:szCs w:val="28"/>
          <w:lang w:val="de-DE"/>
        </w:rPr>
        <w:t>nouveau</w:t>
      </w:r>
      <w:r w:rsidR="001D6CD8">
        <w:rPr>
          <w:sz w:val="28"/>
          <w:szCs w:val="28"/>
          <w:lang w:val="de-DE"/>
        </w:rPr>
        <w:t>x</w:t>
      </w:r>
      <w:r w:rsidRPr="0048270B">
        <w:rPr>
          <w:sz w:val="28"/>
          <w:szCs w:val="28"/>
          <w:lang w:val="de-DE"/>
        </w:rPr>
        <w:t xml:space="preserve"> système</w:t>
      </w:r>
      <w:r w:rsidR="001D6CD8">
        <w:rPr>
          <w:sz w:val="28"/>
          <w:szCs w:val="28"/>
          <w:lang w:val="de-DE"/>
        </w:rPr>
        <w:t>s de prélèvement sont</w:t>
      </w:r>
      <w:r w:rsidRPr="0048270B">
        <w:rPr>
          <w:sz w:val="28"/>
          <w:szCs w:val="28"/>
          <w:lang w:val="de-DE"/>
        </w:rPr>
        <w:t xml:space="preserve"> basé sur une solution d’extraction de salive. En combinaison avec la méthode de détermination quantitative de la salive, une normalisation de la préanalytique de salive est désormais possible. </w:t>
      </w:r>
    </w:p>
    <w:p w:rsidR="00F07D8E" w:rsidRPr="0048270B" w:rsidRDefault="00F07D8E" w:rsidP="0048270B">
      <w:pPr>
        <w:pStyle w:val="NormalWeb"/>
        <w:spacing w:line="360" w:lineRule="auto"/>
        <w:rPr>
          <w:lang w:val="de-DE"/>
        </w:rPr>
      </w:pPr>
    </w:p>
    <w:p w:rsidR="00F07D8E" w:rsidRPr="0048270B" w:rsidRDefault="00F07D8E" w:rsidP="0048270B">
      <w:pPr>
        <w:pStyle w:val="NormalWeb"/>
        <w:spacing w:line="360" w:lineRule="auto"/>
        <w:rPr>
          <w:sz w:val="32"/>
          <w:szCs w:val="32"/>
          <w:lang w:val="de-DE"/>
        </w:rPr>
      </w:pPr>
      <w:r w:rsidRPr="0048270B">
        <w:rPr>
          <w:sz w:val="32"/>
          <w:szCs w:val="32"/>
          <w:lang w:val="fr-FR"/>
        </w:rPr>
        <w:t xml:space="preserve">La </w:t>
      </w:r>
      <w:r w:rsidRPr="0048270B">
        <w:rPr>
          <w:b/>
          <w:bCs/>
          <w:sz w:val="32"/>
          <w:szCs w:val="32"/>
          <w:lang w:val="fr-FR"/>
        </w:rPr>
        <w:t>spectrophotométri</w:t>
      </w:r>
      <w:r w:rsidR="0048270B" w:rsidRPr="0048270B">
        <w:rPr>
          <w:b/>
          <w:bCs/>
          <w:sz w:val="32"/>
          <w:szCs w:val="32"/>
          <w:lang w:val="fr-FR"/>
        </w:rPr>
        <w:t>e</w:t>
      </w:r>
    </w:p>
    <w:p w:rsidR="0014260C" w:rsidRPr="0048270B" w:rsidRDefault="0014260C" w:rsidP="0048270B">
      <w:pPr>
        <w:pStyle w:val="NormalWeb"/>
        <w:spacing w:line="360" w:lineRule="auto"/>
        <w:rPr>
          <w:sz w:val="28"/>
          <w:szCs w:val="28"/>
          <w:lang w:val="fr-FR"/>
        </w:rPr>
      </w:pPr>
      <w:r w:rsidRPr="0048270B">
        <w:rPr>
          <w:sz w:val="28"/>
          <w:szCs w:val="28"/>
          <w:lang w:val="fr-FR"/>
        </w:rPr>
        <w:t xml:space="preserve">La </w:t>
      </w:r>
      <w:r w:rsidRPr="0048270B">
        <w:rPr>
          <w:b/>
          <w:bCs/>
          <w:sz w:val="28"/>
          <w:szCs w:val="28"/>
          <w:lang w:val="fr-FR"/>
        </w:rPr>
        <w:t>spectrophotométrie</w:t>
      </w:r>
      <w:r w:rsidRPr="0048270B">
        <w:rPr>
          <w:sz w:val="28"/>
          <w:szCs w:val="28"/>
          <w:lang w:val="fr-FR"/>
        </w:rPr>
        <w:t xml:space="preserve"> est une méthode analytique quantitative qui consiste à mesurer l'</w:t>
      </w:r>
      <w:hyperlink r:id="rId49" w:tooltip="Absorbance" w:history="1">
        <w:r w:rsidRPr="0048270B">
          <w:rPr>
            <w:rStyle w:val="Hyperlink"/>
            <w:b/>
            <w:bCs/>
            <w:sz w:val="28"/>
            <w:szCs w:val="28"/>
            <w:lang w:val="fr-FR"/>
          </w:rPr>
          <w:t>absorbance</w:t>
        </w:r>
      </w:hyperlink>
      <w:r w:rsidRPr="0048270B">
        <w:rPr>
          <w:sz w:val="28"/>
          <w:szCs w:val="28"/>
          <w:lang w:val="fr-FR"/>
        </w:rPr>
        <w:t xml:space="preserve"> ou la densité optique d'une </w:t>
      </w:r>
      <w:hyperlink r:id="rId50" w:tooltip="Composé chimique" w:history="1">
        <w:r w:rsidRPr="0048270B">
          <w:rPr>
            <w:rStyle w:val="Hyperlink"/>
            <w:sz w:val="28"/>
            <w:szCs w:val="28"/>
            <w:lang w:val="fr-FR"/>
          </w:rPr>
          <w:t>substance chimique</w:t>
        </w:r>
      </w:hyperlink>
      <w:r w:rsidRPr="0048270B">
        <w:rPr>
          <w:sz w:val="28"/>
          <w:szCs w:val="28"/>
          <w:lang w:val="fr-FR"/>
        </w:rPr>
        <w:t xml:space="preserve"> donnée en </w:t>
      </w:r>
      <w:hyperlink r:id="rId51" w:tooltip="Solution (chimie)" w:history="1">
        <w:r w:rsidRPr="0048270B">
          <w:rPr>
            <w:rStyle w:val="Hyperlink"/>
            <w:sz w:val="28"/>
            <w:szCs w:val="28"/>
            <w:lang w:val="fr-FR"/>
          </w:rPr>
          <w:t>solution</w:t>
        </w:r>
      </w:hyperlink>
      <w:r w:rsidRPr="0048270B">
        <w:rPr>
          <w:sz w:val="28"/>
          <w:szCs w:val="28"/>
          <w:lang w:val="fr-FR"/>
        </w:rPr>
        <w:t xml:space="preserve">. Plus cette espèce est concentrée plus elle absorbe la lumière dans les limites de proportionnalités énoncées par la </w:t>
      </w:r>
      <w:hyperlink r:id="rId52" w:tooltip="Loi de Beer-Lambert" w:history="1">
        <w:r w:rsidRPr="0048270B">
          <w:rPr>
            <w:rStyle w:val="Hyperlink"/>
            <w:sz w:val="28"/>
            <w:szCs w:val="28"/>
            <w:lang w:val="fr-FR"/>
          </w:rPr>
          <w:t xml:space="preserve">loi de </w:t>
        </w:r>
        <w:proofErr w:type="spellStart"/>
        <w:r w:rsidRPr="0048270B">
          <w:rPr>
            <w:rStyle w:val="Hyperlink"/>
            <w:sz w:val="28"/>
            <w:szCs w:val="28"/>
            <w:lang w:val="fr-FR"/>
          </w:rPr>
          <w:t>Beer</w:t>
        </w:r>
        <w:proofErr w:type="spellEnd"/>
        <w:r w:rsidRPr="0048270B">
          <w:rPr>
            <w:rStyle w:val="Hyperlink"/>
            <w:sz w:val="28"/>
            <w:szCs w:val="28"/>
            <w:lang w:val="fr-FR"/>
          </w:rPr>
          <w:t>-Lambert</w:t>
        </w:r>
      </w:hyperlink>
      <w:r w:rsidRPr="0048270B">
        <w:rPr>
          <w:sz w:val="28"/>
          <w:szCs w:val="28"/>
          <w:lang w:val="fr-FR"/>
        </w:rPr>
        <w:t>.</w:t>
      </w:r>
    </w:p>
    <w:p w:rsidR="0014260C" w:rsidRPr="0048270B" w:rsidRDefault="0014260C" w:rsidP="0048270B">
      <w:pPr>
        <w:pStyle w:val="NormalWeb"/>
        <w:spacing w:line="360" w:lineRule="auto"/>
        <w:rPr>
          <w:sz w:val="28"/>
          <w:szCs w:val="28"/>
          <w:lang w:val="fr-FR"/>
        </w:rPr>
      </w:pPr>
      <w:r w:rsidRPr="0048270B">
        <w:rPr>
          <w:sz w:val="28"/>
          <w:szCs w:val="28"/>
          <w:lang w:val="fr-FR"/>
        </w:rPr>
        <w:lastRenderedPageBreak/>
        <w:t xml:space="preserve">La densité optique des solutions est déterminée par un </w:t>
      </w:r>
      <w:hyperlink r:id="rId53" w:tooltip="Spectrophotomètre" w:history="1">
        <w:r w:rsidRPr="0048270B">
          <w:rPr>
            <w:rStyle w:val="Hyperlink"/>
            <w:b/>
            <w:bCs/>
            <w:sz w:val="28"/>
            <w:szCs w:val="28"/>
            <w:lang w:val="fr-FR"/>
          </w:rPr>
          <w:t>spectrophotomètre</w:t>
        </w:r>
      </w:hyperlink>
      <w:r w:rsidRPr="0048270B">
        <w:rPr>
          <w:sz w:val="28"/>
          <w:szCs w:val="28"/>
          <w:lang w:val="fr-FR"/>
        </w:rPr>
        <w:t xml:space="preserve"> préalablement étalonné sur la </w:t>
      </w:r>
      <w:hyperlink r:id="rId54" w:tooltip="Longueur d'onde" w:history="1">
        <w:r w:rsidRPr="0048270B">
          <w:rPr>
            <w:rStyle w:val="Hyperlink"/>
            <w:sz w:val="28"/>
            <w:szCs w:val="28"/>
            <w:lang w:val="fr-FR"/>
          </w:rPr>
          <w:t>longueur d'onde</w:t>
        </w:r>
      </w:hyperlink>
      <w:r w:rsidRPr="0048270B">
        <w:rPr>
          <w:sz w:val="28"/>
          <w:szCs w:val="28"/>
          <w:lang w:val="fr-FR"/>
        </w:rPr>
        <w:t xml:space="preserve"> d'absorption de l'</w:t>
      </w:r>
      <w:hyperlink r:id="rId55" w:tooltip="Espèce chimique" w:history="1">
        <w:r w:rsidRPr="0048270B">
          <w:rPr>
            <w:rStyle w:val="Hyperlink"/>
            <w:sz w:val="28"/>
            <w:szCs w:val="28"/>
            <w:lang w:val="fr-FR"/>
          </w:rPr>
          <w:t>espèce chimique</w:t>
        </w:r>
      </w:hyperlink>
      <w:r w:rsidRPr="0048270B">
        <w:rPr>
          <w:sz w:val="28"/>
          <w:szCs w:val="28"/>
          <w:lang w:val="fr-FR"/>
        </w:rPr>
        <w:t xml:space="preserve"> à étudier.</w:t>
      </w:r>
    </w:p>
    <w:p w:rsidR="008E2E88" w:rsidRDefault="008E2E88" w:rsidP="0048270B">
      <w:pPr>
        <w:spacing w:line="360" w:lineRule="auto"/>
        <w:rPr>
          <w:rFonts w:ascii="Times New Roman" w:hAnsi="Times New Roman" w:cs="Times New Roman"/>
          <w:lang w:val="fr-FR"/>
        </w:rPr>
      </w:pPr>
    </w:p>
    <w:p w:rsidR="00D60B9B" w:rsidRDefault="00563016" w:rsidP="0048270B">
      <w:pPr>
        <w:spacing w:line="360" w:lineRule="auto"/>
        <w:rPr>
          <w:rFonts w:ascii="Times New Roman" w:hAnsi="Times New Roman" w:cs="Times New Roman"/>
          <w:lang w:val="fr-FR"/>
        </w:rPr>
      </w:pPr>
      <w:r w:rsidRPr="00563016">
        <w:rPr>
          <w:rFonts w:ascii="Times New Roman" w:hAnsi="Times New Roman" w:cs="Times New Roman"/>
          <w:lang w:val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41pt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eminaire; Notions du cours"/>
          </v:shape>
        </w:pict>
      </w:r>
    </w:p>
    <w:p w:rsidR="00B2581D" w:rsidRDefault="00B2581D" w:rsidP="0048270B">
      <w:pPr>
        <w:spacing w:line="360" w:lineRule="auto"/>
        <w:rPr>
          <w:rFonts w:ascii="Times New Roman" w:hAnsi="Times New Roman" w:cs="Times New Roman"/>
          <w:lang w:val="fr-FR"/>
        </w:rPr>
      </w:pPr>
    </w:p>
    <w:p w:rsidR="00B2581D" w:rsidRDefault="00B2581D" w:rsidP="0048270B">
      <w:pPr>
        <w:spacing w:line="360" w:lineRule="auto"/>
        <w:rPr>
          <w:rFonts w:ascii="Times New Roman" w:hAnsi="Times New Roman" w:cs="Times New Roman"/>
          <w:lang w:val="fr-FR"/>
        </w:rPr>
      </w:pPr>
    </w:p>
    <w:p w:rsidR="00B2581D" w:rsidRDefault="00B2581D" w:rsidP="00B2581D">
      <w:pPr>
        <w:pStyle w:val="NormalWeb"/>
        <w:jc w:val="center"/>
        <w:rPr>
          <w:rFonts w:ascii="Copperplate Gothic Bold" w:hAnsi="Copperplate Gothic Bold" w:cs="Arial"/>
          <w:b/>
          <w:bCs/>
          <w:sz w:val="32"/>
          <w:szCs w:val="32"/>
          <w:lang w:val="fr-FR"/>
        </w:rPr>
      </w:pPr>
      <w:r w:rsidRPr="008F7A63">
        <w:rPr>
          <w:rFonts w:ascii="Copperplate Gothic Bold" w:hAnsi="Copperplate Gothic Bold" w:cs="Arial"/>
          <w:b/>
          <w:sz w:val="32"/>
          <w:szCs w:val="32"/>
          <w:lang w:val="fr-FR"/>
        </w:rPr>
        <w:t>LES D'</w:t>
      </w:r>
      <w:r w:rsidRPr="008F7A63">
        <w:rPr>
          <w:rFonts w:ascii="Copperplate Gothic Bold" w:hAnsi="Copperplate Gothic Bold" w:cs="Arial"/>
          <w:b/>
          <w:bCs/>
          <w:sz w:val="32"/>
          <w:szCs w:val="32"/>
          <w:lang w:val="fr-FR"/>
        </w:rPr>
        <w:t>ACIDES AMINES</w:t>
      </w:r>
    </w:p>
    <w:p w:rsidR="00B2581D" w:rsidRPr="008F7A63" w:rsidRDefault="00B2581D" w:rsidP="00B2581D">
      <w:pPr>
        <w:pStyle w:val="NormalWeb"/>
        <w:jc w:val="center"/>
        <w:rPr>
          <w:rFonts w:ascii="Copperplate Gothic Bold" w:hAnsi="Copperplate Gothic Bold" w:cs="Arial"/>
          <w:b/>
          <w:sz w:val="32"/>
          <w:szCs w:val="32"/>
          <w:lang w:val="fr-FR"/>
        </w:rPr>
      </w:pPr>
    </w:p>
    <w:p w:rsidR="00B2581D" w:rsidRPr="009C2854" w:rsidRDefault="00B2581D" w:rsidP="00B2581D">
      <w:pPr>
        <w:numPr>
          <w:ilvl w:val="0"/>
          <w:numId w:val="18"/>
        </w:numPr>
        <w:spacing w:line="240" w:lineRule="auto"/>
        <w:jc w:val="both"/>
        <w:rPr>
          <w:b/>
          <w:color w:val="FF0000"/>
          <w:sz w:val="24"/>
          <w:szCs w:val="24"/>
        </w:rPr>
      </w:pPr>
      <w:r w:rsidRPr="00EC175F">
        <w:rPr>
          <w:b/>
          <w:color w:val="FF0000"/>
          <w:sz w:val="28"/>
          <w:szCs w:val="28"/>
        </w:rPr>
        <w:t>GENERALITEES</w:t>
      </w:r>
      <w:r w:rsidRPr="00EC175F">
        <w:rPr>
          <w:b/>
          <w:color w:val="FF0000"/>
          <w:sz w:val="24"/>
          <w:szCs w:val="24"/>
        </w:rPr>
        <w:t> :</w:t>
      </w:r>
    </w:p>
    <w:p w:rsidR="00B2581D" w:rsidRPr="004A5C5F" w:rsidRDefault="00B2581D" w:rsidP="00B2581D">
      <w:pPr>
        <w:pStyle w:val="NormalWeb"/>
        <w:ind w:firstLine="720"/>
        <w:jc w:val="both"/>
        <w:rPr>
          <w:rFonts w:ascii="Arial" w:hAnsi="Arial" w:cs="Arial"/>
          <w:lang w:val="fr-FR"/>
        </w:rPr>
      </w:pPr>
      <w:r w:rsidRPr="004A5C5F">
        <w:rPr>
          <w:rFonts w:ascii="Arial" w:hAnsi="Arial" w:cs="Arial"/>
          <w:lang w:val="fr-FR"/>
        </w:rPr>
        <w:t>Les protéines sont constituées d'un enchaînement d'</w:t>
      </w:r>
      <w:r w:rsidRPr="004A5C5F">
        <w:rPr>
          <w:rFonts w:ascii="Arial" w:hAnsi="Arial" w:cs="Arial"/>
          <w:b/>
          <w:bCs/>
          <w:lang w:val="fr-FR"/>
        </w:rPr>
        <w:t>acides aminés</w:t>
      </w:r>
      <w:r w:rsidRPr="004A5C5F">
        <w:rPr>
          <w:rFonts w:ascii="Arial" w:hAnsi="Arial" w:cs="Arial"/>
          <w:lang w:val="fr-FR"/>
        </w:rPr>
        <w:t xml:space="preserve">. Les acides aminés (AA) </w:t>
      </w:r>
      <w:r>
        <w:rPr>
          <w:rFonts w:ascii="Arial" w:hAnsi="Arial" w:cs="Arial"/>
          <w:lang w:val="fr-FR"/>
        </w:rPr>
        <w:t xml:space="preserve">sont 20, et </w:t>
      </w:r>
      <w:r w:rsidRPr="004A5C5F">
        <w:rPr>
          <w:rFonts w:ascii="Arial" w:hAnsi="Arial" w:cs="Arial"/>
          <w:lang w:val="fr-FR"/>
        </w:rPr>
        <w:t xml:space="preserve">peuvent être subdivisés en AA apolaires (9 AA) et en AA polaires (11 AA). Ces derniers peuvent être des Acides amines polaires non chargés (6 AA), Acides amines polaires chargés (-) (appelés aussi AA acides) et des Acides amines polaires chargés (+) (appelés aussi AA basiques). </w:t>
      </w:r>
    </w:p>
    <w:p w:rsidR="00B2581D" w:rsidRDefault="00B2581D" w:rsidP="00B2581D">
      <w:pPr>
        <w:pStyle w:val="NormalWeb"/>
        <w:jc w:val="both"/>
        <w:rPr>
          <w:rFonts w:ascii="Arial" w:hAnsi="Arial" w:cs="Arial"/>
          <w:lang w:val="fr-FR"/>
        </w:rPr>
      </w:pPr>
      <w:r w:rsidRPr="004A5C5F">
        <w:rPr>
          <w:rFonts w:ascii="Arial" w:hAnsi="Arial" w:cs="Arial"/>
          <w:lang w:val="fr-FR"/>
        </w:rPr>
        <w:t xml:space="preserve">Pour rappel, certains </w:t>
      </w:r>
      <w:r w:rsidRPr="00D95DF4">
        <w:rPr>
          <w:rFonts w:ascii="Arial" w:hAnsi="Arial" w:cs="Arial"/>
          <w:b/>
          <w:lang w:val="fr-FR"/>
        </w:rPr>
        <w:t>AA sont essentiels</w:t>
      </w:r>
      <w:r w:rsidRPr="004A5C5F">
        <w:rPr>
          <w:rFonts w:ascii="Arial" w:hAnsi="Arial" w:cs="Arial"/>
          <w:lang w:val="fr-FR"/>
        </w:rPr>
        <w:t>. Il faut les fournir par un apport alimentaire</w:t>
      </w:r>
      <w:r>
        <w:rPr>
          <w:rFonts w:ascii="Arial" w:hAnsi="Arial" w:cs="Arial"/>
          <w:lang w:val="fr-FR"/>
        </w:rPr>
        <w:t xml:space="preserve">, parce </w:t>
      </w:r>
      <w:r w:rsidRPr="00CE0880">
        <w:rPr>
          <w:rFonts w:ascii="Arial" w:hAnsi="Arial" w:cs="Arial"/>
          <w:lang w:val="fr-FR"/>
        </w:rPr>
        <w:t>qui</w:t>
      </w:r>
      <w:r>
        <w:rPr>
          <w:rFonts w:ascii="Arial" w:hAnsi="Arial" w:cs="Arial"/>
          <w:lang w:val="fr-FR"/>
        </w:rPr>
        <w:t xml:space="preserve"> ils ne peuvent</w:t>
      </w:r>
      <w:r w:rsidRPr="00CE0880">
        <w:rPr>
          <w:rFonts w:ascii="Arial" w:hAnsi="Arial" w:cs="Arial"/>
          <w:lang w:val="fr-FR"/>
        </w:rPr>
        <w:t xml:space="preserve"> être s</w:t>
      </w:r>
      <w:r>
        <w:rPr>
          <w:rFonts w:ascii="Arial" w:hAnsi="Arial" w:cs="Arial"/>
          <w:lang w:val="fr-FR"/>
        </w:rPr>
        <w:t>ynthétisés par l'organisme et ils doivent</w:t>
      </w:r>
      <w:r w:rsidRPr="00CE0880">
        <w:rPr>
          <w:rFonts w:ascii="Arial" w:hAnsi="Arial" w:cs="Arial"/>
          <w:lang w:val="fr-FR"/>
        </w:rPr>
        <w:t xml:space="preserve"> être obtenu</w:t>
      </w:r>
      <w:r>
        <w:rPr>
          <w:rFonts w:ascii="Arial" w:hAnsi="Arial" w:cs="Arial"/>
          <w:lang w:val="fr-FR"/>
        </w:rPr>
        <w:t>s</w:t>
      </w:r>
      <w:r w:rsidRPr="00CE0880">
        <w:rPr>
          <w:rFonts w:ascii="Arial" w:hAnsi="Arial" w:cs="Arial"/>
          <w:lang w:val="fr-FR"/>
        </w:rPr>
        <w:t xml:space="preserve"> de l'alimentation. Chez, l'humain, l'isoleucine, la leucine, la lysine, la méthionine, la phénylalanine, la thréonine, le tryptophane et la valine sont toujours essentiels. </w:t>
      </w:r>
    </w:p>
    <w:p w:rsidR="00B2581D" w:rsidRPr="00B2581D" w:rsidRDefault="00B2581D" w:rsidP="00B2581D">
      <w:pPr>
        <w:pStyle w:val="NormalWeb"/>
        <w:jc w:val="both"/>
        <w:rPr>
          <w:rFonts w:ascii="Arial" w:hAnsi="Arial" w:cs="Arial"/>
          <w:lang w:val="fr-FR"/>
        </w:rPr>
      </w:pPr>
      <w:r w:rsidRPr="008F7A63">
        <w:rPr>
          <w:rFonts w:ascii="Arial" w:hAnsi="Arial" w:cs="Arial"/>
          <w:lang w:val="fr-FR"/>
        </w:rPr>
        <w:t>Donc, les</w:t>
      </w:r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aa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r w:rsidRPr="00D95DF4">
        <w:rPr>
          <w:rFonts w:ascii="Arial" w:hAnsi="Arial" w:cs="Arial"/>
          <w:b/>
          <w:lang w:val="fr-FR"/>
        </w:rPr>
        <w:t>essentiels</w:t>
      </w:r>
      <w:r>
        <w:rPr>
          <w:rFonts w:ascii="Arial" w:hAnsi="Arial" w:cs="Arial"/>
          <w:b/>
          <w:lang w:val="fr-FR"/>
        </w:rPr>
        <w:t xml:space="preserve"> </w:t>
      </w:r>
      <w:r w:rsidRPr="008F7A63">
        <w:rPr>
          <w:rFonts w:ascii="Arial" w:hAnsi="Arial" w:cs="Arial"/>
          <w:lang w:val="fr-FR"/>
        </w:rPr>
        <w:t>sont</w:t>
      </w:r>
      <w:r>
        <w:rPr>
          <w:rFonts w:ascii="Arial" w:hAnsi="Arial" w:cs="Arial"/>
          <w:lang w:val="fr-FR"/>
        </w:rPr>
        <w:t xml:space="preserve"> : Val, Leu, Ile, </w:t>
      </w:r>
      <w:proofErr w:type="spellStart"/>
      <w:r>
        <w:rPr>
          <w:rFonts w:ascii="Arial" w:hAnsi="Arial" w:cs="Arial"/>
          <w:lang w:val="fr-FR"/>
        </w:rPr>
        <w:t>Thr</w:t>
      </w:r>
      <w:proofErr w:type="spellEnd"/>
      <w:r>
        <w:rPr>
          <w:rFonts w:ascii="Arial" w:hAnsi="Arial" w:cs="Arial"/>
          <w:lang w:val="fr-FR"/>
        </w:rPr>
        <w:t xml:space="preserve">, Met, </w:t>
      </w:r>
      <w:proofErr w:type="spellStart"/>
      <w:r>
        <w:rPr>
          <w:rFonts w:ascii="Arial" w:hAnsi="Arial" w:cs="Arial"/>
          <w:lang w:val="fr-FR"/>
        </w:rPr>
        <w:t>Phe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Trp</w:t>
      </w:r>
      <w:proofErr w:type="spellEnd"/>
      <w:r>
        <w:rPr>
          <w:rFonts w:ascii="Arial" w:hAnsi="Arial" w:cs="Arial"/>
          <w:lang w:val="fr-FR"/>
        </w:rPr>
        <w:t>, Lys</w:t>
      </w:r>
    </w:p>
    <w:p w:rsidR="00B2581D" w:rsidRDefault="00B2581D" w:rsidP="00B2581D">
      <w:pPr>
        <w:pStyle w:val="NormalWeb"/>
        <w:jc w:val="both"/>
        <w:rPr>
          <w:rFonts w:ascii="Arial" w:hAnsi="Arial" w:cs="Arial"/>
        </w:rPr>
      </w:pPr>
    </w:p>
    <w:p w:rsidR="00B2581D" w:rsidRPr="00EF00D5" w:rsidRDefault="00B2581D" w:rsidP="00B2581D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9C2854">
        <w:rPr>
          <w:rFonts w:ascii="Arial" w:hAnsi="Arial" w:cs="Arial"/>
          <w:b/>
          <w:color w:val="FF0000"/>
          <w:sz w:val="28"/>
          <w:szCs w:val="28"/>
        </w:rPr>
        <w:t>CLASIFFICATION DES AA</w:t>
      </w:r>
    </w:p>
    <w:p w:rsidR="00B2581D" w:rsidRDefault="00B2581D" w:rsidP="00B2581D">
      <w:pPr>
        <w:pStyle w:val="NormalWeb"/>
        <w:ind w:left="720"/>
        <w:jc w:val="both"/>
        <w:rPr>
          <w:rFonts w:ascii="Arial" w:hAnsi="Arial" w:cs="Arial"/>
          <w:lang w:val="fr-FR"/>
        </w:rPr>
      </w:pPr>
      <w:r w:rsidRPr="00263400">
        <w:rPr>
          <w:rFonts w:ascii="Arial" w:hAnsi="Arial" w:cs="Arial"/>
          <w:lang w:val="fr-FR"/>
        </w:rPr>
        <w:t xml:space="preserve">Les acides aminés sont regroupés </w:t>
      </w:r>
      <w:r w:rsidRPr="00EF00D5">
        <w:rPr>
          <w:rFonts w:ascii="Arial" w:hAnsi="Arial" w:cs="Arial"/>
          <w:u w:val="single"/>
          <w:lang w:val="fr-FR"/>
        </w:rPr>
        <w:t>sur la base des</w:t>
      </w:r>
      <w:r>
        <w:rPr>
          <w:rFonts w:ascii="Arial" w:hAnsi="Arial" w:cs="Arial"/>
          <w:lang w:val="fr-FR"/>
        </w:rPr>
        <w:t> :</w:t>
      </w:r>
    </w:p>
    <w:p w:rsidR="00B2581D" w:rsidRDefault="00B2581D" w:rsidP="00B2581D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fr-FR"/>
        </w:rPr>
      </w:pPr>
      <w:r w:rsidRPr="009C2854">
        <w:rPr>
          <w:rFonts w:ascii="Arial" w:hAnsi="Arial" w:cs="Arial"/>
          <w:b/>
          <w:lang w:val="fr-FR"/>
        </w:rPr>
        <w:t>propriétés</w:t>
      </w:r>
      <w:r>
        <w:rPr>
          <w:rFonts w:ascii="Arial" w:hAnsi="Arial" w:cs="Arial"/>
          <w:lang w:val="fr-FR"/>
        </w:rPr>
        <w:t xml:space="preserve"> (</w:t>
      </w:r>
      <w:r w:rsidRPr="00217B25">
        <w:rPr>
          <w:rFonts w:ascii="Arial" w:hAnsi="Arial" w:cs="Arial"/>
          <w:lang w:val="fr-FR"/>
        </w:rPr>
        <w:t>polaires</w:t>
      </w:r>
      <w:r>
        <w:rPr>
          <w:rFonts w:ascii="Arial" w:hAnsi="Arial" w:cs="Arial"/>
          <w:lang w:val="fr-FR"/>
        </w:rPr>
        <w:t xml:space="preserve">, et donc hydrophiles, </w:t>
      </w:r>
      <w:r w:rsidRPr="00217B25">
        <w:rPr>
          <w:rFonts w:ascii="Arial" w:hAnsi="Arial" w:cs="Arial"/>
          <w:lang w:val="fr-FR"/>
        </w:rPr>
        <w:t>no</w:t>
      </w:r>
      <w:r>
        <w:rPr>
          <w:rFonts w:ascii="Arial" w:hAnsi="Arial" w:cs="Arial"/>
          <w:lang w:val="fr-FR"/>
        </w:rPr>
        <w:t xml:space="preserve">n-polaires et donc hydrophobes / chargés, </w:t>
      </w:r>
      <w:r w:rsidRPr="00263400">
        <w:rPr>
          <w:rFonts w:ascii="Arial" w:hAnsi="Arial" w:cs="Arial"/>
          <w:lang w:val="fr-FR"/>
        </w:rPr>
        <w:t xml:space="preserve">et </w:t>
      </w:r>
      <w:r>
        <w:rPr>
          <w:rFonts w:ascii="Arial" w:hAnsi="Arial" w:cs="Arial"/>
          <w:lang w:val="fr-FR"/>
        </w:rPr>
        <w:t>non-</w:t>
      </w:r>
      <w:r w:rsidRPr="009C285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chargés)</w:t>
      </w:r>
    </w:p>
    <w:p w:rsidR="00B2581D" w:rsidRPr="00EF00D5" w:rsidRDefault="00B2581D" w:rsidP="00B2581D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Arial" w:hAnsi="Arial" w:cs="Arial"/>
          <w:lang w:val="fr-FR"/>
        </w:rPr>
      </w:pPr>
      <w:r w:rsidRPr="00EF00D5">
        <w:rPr>
          <w:rFonts w:ascii="Arial" w:hAnsi="Arial" w:cs="Arial"/>
          <w:b/>
          <w:lang w:val="fr-FR"/>
        </w:rPr>
        <w:t>le potentiel d’être synthétisés</w:t>
      </w:r>
      <w:r w:rsidRPr="00EF00D5">
        <w:rPr>
          <w:rFonts w:ascii="Arial" w:hAnsi="Arial" w:cs="Arial"/>
          <w:lang w:val="fr-FR"/>
        </w:rPr>
        <w:t xml:space="preserve"> par l’organisme : </w:t>
      </w:r>
      <w:r w:rsidRPr="00EF00D5">
        <w:rPr>
          <w:rFonts w:ascii="Arial" w:hAnsi="Arial" w:cs="Arial"/>
          <w:b/>
          <w:lang w:val="fr-FR"/>
        </w:rPr>
        <w:t xml:space="preserve">essentiels </w:t>
      </w:r>
      <w:r>
        <w:rPr>
          <w:rFonts w:ascii="Arial" w:hAnsi="Arial" w:cs="Arial"/>
          <w:lang w:val="fr-FR"/>
        </w:rPr>
        <w:t>-</w:t>
      </w:r>
      <w:r w:rsidRPr="00EF00D5">
        <w:rPr>
          <w:rFonts w:ascii="Arial" w:hAnsi="Arial" w:cs="Arial"/>
          <w:lang w:val="fr-FR"/>
        </w:rPr>
        <w:t xml:space="preserve"> Val, Leu, Ile, </w:t>
      </w:r>
      <w:proofErr w:type="spellStart"/>
      <w:r w:rsidRPr="00EF00D5">
        <w:rPr>
          <w:rFonts w:ascii="Arial" w:hAnsi="Arial" w:cs="Arial"/>
          <w:lang w:val="fr-FR"/>
        </w:rPr>
        <w:t>Thr</w:t>
      </w:r>
      <w:proofErr w:type="spellEnd"/>
      <w:r w:rsidRPr="00EF00D5">
        <w:rPr>
          <w:rFonts w:ascii="Arial" w:hAnsi="Arial" w:cs="Arial"/>
          <w:lang w:val="fr-FR"/>
        </w:rPr>
        <w:t xml:space="preserve">, Met, </w:t>
      </w:r>
      <w:proofErr w:type="spellStart"/>
      <w:r w:rsidRPr="00EF00D5">
        <w:rPr>
          <w:rFonts w:ascii="Arial" w:hAnsi="Arial" w:cs="Arial"/>
          <w:lang w:val="fr-FR"/>
        </w:rPr>
        <w:t>Phe</w:t>
      </w:r>
      <w:proofErr w:type="spellEnd"/>
      <w:r w:rsidRPr="00EF00D5">
        <w:rPr>
          <w:rFonts w:ascii="Arial" w:hAnsi="Arial" w:cs="Arial"/>
          <w:lang w:val="fr-FR"/>
        </w:rPr>
        <w:t xml:space="preserve">, </w:t>
      </w:r>
      <w:proofErr w:type="spellStart"/>
      <w:r w:rsidRPr="00EF00D5">
        <w:rPr>
          <w:rFonts w:ascii="Arial" w:hAnsi="Arial" w:cs="Arial"/>
          <w:lang w:val="fr-FR"/>
        </w:rPr>
        <w:t>Trp</w:t>
      </w:r>
      <w:proofErr w:type="spellEnd"/>
      <w:r w:rsidRPr="00EF00D5">
        <w:rPr>
          <w:rFonts w:ascii="Arial" w:hAnsi="Arial" w:cs="Arial"/>
          <w:lang w:val="fr-FR"/>
        </w:rPr>
        <w:t>, Lys</w:t>
      </w:r>
      <w:r>
        <w:rPr>
          <w:rFonts w:ascii="Arial" w:hAnsi="Arial" w:cs="Arial"/>
          <w:lang w:val="fr-FR"/>
        </w:rPr>
        <w:t xml:space="preserve"> et </w:t>
      </w:r>
      <w:proofErr w:type="spellStart"/>
      <w:r w:rsidRPr="00EF00D5">
        <w:rPr>
          <w:rFonts w:ascii="Arial" w:hAnsi="Arial" w:cs="Arial"/>
          <w:b/>
          <w:lang w:val="fr-FR"/>
        </w:rPr>
        <w:t>nonessentiels</w:t>
      </w:r>
      <w:proofErr w:type="spellEnd"/>
      <w:r>
        <w:rPr>
          <w:rFonts w:ascii="Arial" w:hAnsi="Arial" w:cs="Arial"/>
          <w:lang w:val="fr-FR"/>
        </w:rPr>
        <w:t xml:space="preserve"> – l’autres.</w:t>
      </w:r>
    </w:p>
    <w:p w:rsidR="00B2581D" w:rsidRDefault="00B2581D" w:rsidP="00B2581D">
      <w:pPr>
        <w:pStyle w:val="NormalWeb"/>
        <w:numPr>
          <w:ilvl w:val="0"/>
          <w:numId w:val="7"/>
        </w:numPr>
        <w:jc w:val="both"/>
        <w:rPr>
          <w:rFonts w:ascii="Arial" w:hAnsi="Arial" w:cs="Arial"/>
          <w:lang w:val="fr-FR"/>
        </w:rPr>
      </w:pPr>
      <w:r w:rsidRPr="009C2854">
        <w:rPr>
          <w:rFonts w:ascii="Arial" w:hAnsi="Arial" w:cs="Arial"/>
          <w:b/>
          <w:u w:val="single"/>
          <w:lang w:val="fr-FR"/>
        </w:rPr>
        <w:lastRenderedPageBreak/>
        <w:t>structures</w:t>
      </w:r>
      <w:r>
        <w:rPr>
          <w:rFonts w:ascii="Arial" w:hAnsi="Arial" w:cs="Arial"/>
          <w:lang w:val="fr-FR"/>
        </w:rPr>
        <w:t xml:space="preserve"> des chaînes latérales : aliphatiques, aromatiques, avec soufre, avec </w:t>
      </w:r>
      <w:proofErr w:type="spellStart"/>
      <w:r>
        <w:rPr>
          <w:rFonts w:ascii="Arial" w:hAnsi="Arial" w:cs="Arial"/>
          <w:lang w:val="fr-FR"/>
        </w:rPr>
        <w:t>hydroxile</w:t>
      </w:r>
      <w:proofErr w:type="spellEnd"/>
      <w:r>
        <w:rPr>
          <w:rFonts w:ascii="Arial" w:hAnsi="Arial" w:cs="Arial"/>
          <w:lang w:val="fr-FR"/>
        </w:rPr>
        <w:t xml:space="preserve"> groupe, </w:t>
      </w:r>
      <w:proofErr w:type="spellStart"/>
      <w:r>
        <w:rPr>
          <w:rFonts w:ascii="Arial" w:hAnsi="Arial" w:cs="Arial"/>
          <w:lang w:val="fr-FR"/>
        </w:rPr>
        <w:t>acidiques</w:t>
      </w:r>
      <w:proofErr w:type="spellEnd"/>
      <w:r>
        <w:rPr>
          <w:rFonts w:ascii="Arial" w:hAnsi="Arial" w:cs="Arial"/>
          <w:lang w:val="fr-FR"/>
        </w:rPr>
        <w:t>, basiques)</w:t>
      </w:r>
    </w:p>
    <w:p w:rsidR="00B2581D" w:rsidRDefault="00B2581D" w:rsidP="00B2581D">
      <w:pPr>
        <w:pStyle w:val="NormalWeb"/>
        <w:jc w:val="both"/>
        <w:rPr>
          <w:rFonts w:ascii="Arial" w:hAnsi="Arial" w:cs="Arial"/>
          <w:lang w:val="fr-FR"/>
        </w:rPr>
      </w:pPr>
      <w:r w:rsidRPr="00263400">
        <w:rPr>
          <w:rFonts w:ascii="Arial" w:hAnsi="Arial" w:cs="Arial"/>
          <w:b/>
          <w:lang w:val="fr-FR"/>
        </w:rPr>
        <w:t xml:space="preserve">1) </w:t>
      </w:r>
      <w:r>
        <w:rPr>
          <w:rFonts w:ascii="Arial" w:hAnsi="Arial" w:cs="Arial"/>
          <w:b/>
          <w:lang w:val="fr-FR"/>
        </w:rPr>
        <w:t xml:space="preserve">AA </w:t>
      </w:r>
      <w:r w:rsidRPr="00263400">
        <w:rPr>
          <w:rFonts w:ascii="Arial" w:hAnsi="Arial" w:cs="Arial"/>
          <w:b/>
          <w:lang w:val="fr-FR"/>
        </w:rPr>
        <w:t>aliphatiques</w:t>
      </w:r>
      <w:r w:rsidRPr="00263400">
        <w:rPr>
          <w:rFonts w:ascii="Arial" w:hAnsi="Arial" w:cs="Arial"/>
          <w:lang w:val="fr-FR"/>
        </w:rPr>
        <w:t xml:space="preserve"> (R groupes se composent de carbones et hydrogènes)</w:t>
      </w:r>
    </w:p>
    <w:p w:rsidR="00B2581D" w:rsidRDefault="00B2581D" w:rsidP="00B2581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B77B82">
        <w:rPr>
          <w:rFonts w:ascii="Arial" w:hAnsi="Arial" w:cs="Arial"/>
          <w:color w:val="FF0000"/>
          <w:lang w:val="fr-FR"/>
        </w:rPr>
        <w:t>Gly</w:t>
      </w:r>
      <w:proofErr w:type="spellEnd"/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 xml:space="preserve">glycine - R = H </w:t>
      </w:r>
      <w:r>
        <w:rPr>
          <w:rFonts w:ascii="Arial" w:hAnsi="Arial" w:cs="Arial"/>
          <w:lang w:val="fr-FR"/>
        </w:rPr>
        <w:t xml:space="preserve">le </w:t>
      </w:r>
      <w:r w:rsidRPr="00263400">
        <w:rPr>
          <w:rFonts w:ascii="Arial" w:hAnsi="Arial" w:cs="Arial"/>
          <w:lang w:val="fr-FR"/>
        </w:rPr>
        <w:t xml:space="preserve">plus petit </w:t>
      </w:r>
      <w:proofErr w:type="spellStart"/>
      <w:r w:rsidRPr="00263400">
        <w:rPr>
          <w:rFonts w:ascii="Arial" w:hAnsi="Arial" w:cs="Arial"/>
          <w:lang w:val="fr-FR"/>
        </w:rPr>
        <w:t>aa</w:t>
      </w:r>
      <w:proofErr w:type="spellEnd"/>
    </w:p>
    <w:p w:rsidR="00B2581D" w:rsidRDefault="00B2581D" w:rsidP="00B2581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B77B82">
        <w:rPr>
          <w:rFonts w:ascii="Arial" w:hAnsi="Arial" w:cs="Arial"/>
          <w:color w:val="FF0000"/>
          <w:lang w:val="fr-FR"/>
        </w:rPr>
        <w:t>Ala</w:t>
      </w:r>
      <w:proofErr w:type="spellEnd"/>
      <w:r>
        <w:rPr>
          <w:rFonts w:ascii="Arial" w:hAnsi="Arial" w:cs="Arial"/>
          <w:lang w:val="fr-FR"/>
        </w:rPr>
        <w:t xml:space="preserve"> - alanine </w:t>
      </w:r>
      <w:r w:rsidRPr="00263400">
        <w:rPr>
          <w:rFonts w:ascii="Arial" w:hAnsi="Arial" w:cs="Arial"/>
          <w:lang w:val="fr-FR"/>
        </w:rPr>
        <w:t xml:space="preserve"> - R = CH3 R = </w:t>
      </w:r>
      <w:proofErr w:type="spellStart"/>
      <w:r w:rsidRPr="00263400">
        <w:rPr>
          <w:rFonts w:ascii="Arial" w:hAnsi="Arial" w:cs="Arial"/>
          <w:lang w:val="fr-FR"/>
        </w:rPr>
        <w:t>méthyl</w:t>
      </w:r>
      <w:proofErr w:type="spellEnd"/>
      <w:r w:rsidRPr="0026340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groupe</w:t>
      </w:r>
    </w:p>
    <w:p w:rsidR="00B2581D" w:rsidRDefault="00B2581D" w:rsidP="00B2581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color w:val="FF0000"/>
          <w:lang w:val="fr-FR"/>
        </w:rPr>
        <w:t>Val</w:t>
      </w:r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 xml:space="preserve">valine ramifiée; hydrophobe ; important dans le repliement des protéines </w:t>
      </w:r>
    </w:p>
    <w:p w:rsidR="00B2581D" w:rsidRDefault="00B2581D" w:rsidP="00B2581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color w:val="FF0000"/>
          <w:lang w:val="fr-FR"/>
        </w:rPr>
        <w:t>Leu</w:t>
      </w:r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 xml:space="preserve">leucine </w:t>
      </w:r>
      <w:r>
        <w:rPr>
          <w:rFonts w:ascii="Arial" w:hAnsi="Arial" w:cs="Arial"/>
          <w:lang w:val="fr-FR"/>
        </w:rPr>
        <w:t xml:space="preserve">R= 4 </w:t>
      </w:r>
      <w:r w:rsidRPr="00263400">
        <w:rPr>
          <w:rFonts w:ascii="Arial" w:hAnsi="Arial" w:cs="Arial"/>
          <w:lang w:val="fr-FR"/>
        </w:rPr>
        <w:t>carbone</w:t>
      </w:r>
      <w:r>
        <w:rPr>
          <w:rFonts w:ascii="Arial" w:hAnsi="Arial" w:cs="Arial"/>
          <w:lang w:val="fr-FR"/>
        </w:rPr>
        <w:t>,</w:t>
      </w:r>
      <w:r w:rsidRPr="00263400">
        <w:rPr>
          <w:rFonts w:ascii="Arial" w:hAnsi="Arial" w:cs="Arial"/>
          <w:lang w:val="fr-FR"/>
        </w:rPr>
        <w:t xml:space="preserve"> ramifié R chaîne latérale </w:t>
      </w:r>
    </w:p>
    <w:p w:rsidR="00B2581D" w:rsidRDefault="00B2581D" w:rsidP="00B2581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color w:val="FF0000"/>
          <w:lang w:val="fr-FR"/>
        </w:rPr>
        <w:t>Ile</w:t>
      </w:r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 xml:space="preserve">isoleucine </w:t>
      </w:r>
    </w:p>
    <w:p w:rsidR="00B2581D" w:rsidRDefault="00B2581D" w:rsidP="00B2581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color w:val="FF0000"/>
          <w:lang w:val="fr-FR"/>
        </w:rPr>
        <w:t>Pro</w:t>
      </w:r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 xml:space="preserve">proline </w:t>
      </w:r>
      <w:r>
        <w:rPr>
          <w:rFonts w:ascii="Arial" w:hAnsi="Arial" w:cs="Arial"/>
          <w:lang w:val="fr-FR"/>
        </w:rPr>
        <w:t xml:space="preserve">- </w:t>
      </w:r>
      <w:r w:rsidRPr="00263400">
        <w:rPr>
          <w:rFonts w:ascii="Arial" w:hAnsi="Arial" w:cs="Arial"/>
          <w:lang w:val="fr-FR"/>
        </w:rPr>
        <w:t xml:space="preserve">contient un groupe </w:t>
      </w:r>
      <w:proofErr w:type="spellStart"/>
      <w:r w:rsidRPr="00263400">
        <w:rPr>
          <w:rFonts w:ascii="Arial" w:hAnsi="Arial" w:cs="Arial"/>
          <w:lang w:val="fr-FR"/>
        </w:rPr>
        <w:t>amino</w:t>
      </w:r>
      <w:proofErr w:type="spellEnd"/>
      <w:r w:rsidRPr="00263400">
        <w:rPr>
          <w:rFonts w:ascii="Arial" w:hAnsi="Arial" w:cs="Arial"/>
          <w:lang w:val="fr-FR"/>
        </w:rPr>
        <w:t xml:space="preserve"> secondaire</w:t>
      </w:r>
      <w:r>
        <w:rPr>
          <w:rFonts w:ascii="Arial" w:hAnsi="Arial" w:cs="Arial"/>
          <w:lang w:val="fr-FR"/>
        </w:rPr>
        <w:t xml:space="preserve">  </w:t>
      </w: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82486">
        <w:rPr>
          <w:rFonts w:ascii="Arial" w:hAnsi="Arial" w:cs="Arial"/>
          <w:b/>
          <w:lang w:val="fr-FR"/>
        </w:rPr>
        <w:t xml:space="preserve">2) </w:t>
      </w:r>
      <w:r>
        <w:rPr>
          <w:rFonts w:ascii="Arial" w:hAnsi="Arial" w:cs="Arial"/>
          <w:b/>
          <w:lang w:val="fr-FR"/>
        </w:rPr>
        <w:t xml:space="preserve">AA </w:t>
      </w:r>
      <w:r w:rsidRPr="00B82486">
        <w:rPr>
          <w:rFonts w:ascii="Arial" w:hAnsi="Arial" w:cs="Arial"/>
          <w:b/>
          <w:lang w:val="fr-FR"/>
        </w:rPr>
        <w:t>aromatiques</w:t>
      </w:r>
      <w:r w:rsidRPr="00263400">
        <w:rPr>
          <w:rFonts w:ascii="Arial" w:hAnsi="Arial" w:cs="Arial"/>
          <w:lang w:val="fr-FR"/>
        </w:rPr>
        <w:t xml:space="preserve"> (groupes R ont noyau phényle) </w:t>
      </w:r>
      <w:r>
        <w:rPr>
          <w:rFonts w:ascii="Arial" w:hAnsi="Arial" w:cs="Arial"/>
          <w:lang w:val="fr-FR"/>
        </w:rPr>
        <w:t>(</w:t>
      </w:r>
      <w:r w:rsidRPr="00263400">
        <w:rPr>
          <w:rFonts w:ascii="Arial" w:hAnsi="Arial" w:cs="Arial"/>
          <w:lang w:val="fr-FR"/>
        </w:rPr>
        <w:t>absor</w:t>
      </w:r>
      <w:r>
        <w:rPr>
          <w:rFonts w:ascii="Arial" w:hAnsi="Arial" w:cs="Arial"/>
          <w:lang w:val="fr-FR"/>
        </w:rPr>
        <w:t>bent la lumière UV à 280 nm</w:t>
      </w:r>
      <w:r w:rsidRPr="00263400">
        <w:rPr>
          <w:rFonts w:ascii="Arial" w:hAnsi="Arial" w:cs="Arial"/>
          <w:lang w:val="fr-FR"/>
        </w:rPr>
        <w:t>; utilisés pour estimer [protéine]</w:t>
      </w: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</w:p>
    <w:p w:rsidR="00B2581D" w:rsidRDefault="00B2581D" w:rsidP="00B2581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B77B82">
        <w:rPr>
          <w:rFonts w:ascii="Arial" w:hAnsi="Arial" w:cs="Arial"/>
          <w:color w:val="FF0000"/>
          <w:lang w:val="fr-FR"/>
        </w:rPr>
        <w:t>Phe</w:t>
      </w:r>
      <w:proofErr w:type="spellEnd"/>
      <w:r w:rsidRPr="00B77B82">
        <w:rPr>
          <w:rFonts w:ascii="Arial" w:hAnsi="Arial" w:cs="Arial"/>
          <w:color w:val="FF0000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- </w:t>
      </w:r>
      <w:r w:rsidRPr="00263400">
        <w:rPr>
          <w:rFonts w:ascii="Arial" w:hAnsi="Arial" w:cs="Arial"/>
          <w:lang w:val="fr-FR"/>
        </w:rPr>
        <w:t xml:space="preserve">phénylalanine </w:t>
      </w:r>
      <w:r>
        <w:rPr>
          <w:rFonts w:ascii="Arial" w:hAnsi="Arial" w:cs="Arial"/>
          <w:lang w:val="fr-FR"/>
        </w:rPr>
        <w:t>–</w:t>
      </w:r>
      <w:r w:rsidRPr="00263400">
        <w:rPr>
          <w:rFonts w:ascii="Arial" w:hAnsi="Arial" w:cs="Arial"/>
          <w:lang w:val="fr-FR"/>
        </w:rPr>
        <w:t xml:space="preserve"> très hydrophobes</w:t>
      </w:r>
    </w:p>
    <w:p w:rsidR="00B2581D" w:rsidRDefault="00B2581D" w:rsidP="00B2581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color w:val="FF0000"/>
          <w:lang w:val="fr-FR"/>
        </w:rPr>
        <w:t>Tyr</w:t>
      </w:r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>tyrosine - hydro</w:t>
      </w:r>
      <w:r>
        <w:rPr>
          <w:rFonts w:ascii="Arial" w:hAnsi="Arial" w:cs="Arial"/>
          <w:lang w:val="fr-FR"/>
        </w:rPr>
        <w:t>phobe, mais pas tant, a cause des groupes polaires</w:t>
      </w:r>
    </w:p>
    <w:p w:rsidR="00B2581D" w:rsidRDefault="00B2581D" w:rsidP="00B2581D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B77B82">
        <w:rPr>
          <w:rFonts w:ascii="Arial" w:hAnsi="Arial" w:cs="Arial"/>
          <w:color w:val="FF0000"/>
          <w:lang w:val="fr-FR"/>
        </w:rPr>
        <w:t>Trp</w:t>
      </w:r>
      <w:proofErr w:type="spellEnd"/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>trypt</w:t>
      </w:r>
      <w:r>
        <w:rPr>
          <w:rFonts w:ascii="Arial" w:hAnsi="Arial" w:cs="Arial"/>
          <w:lang w:val="fr-FR"/>
        </w:rPr>
        <w:t xml:space="preserve">ophane  </w:t>
      </w:r>
    </w:p>
    <w:p w:rsidR="00B2581D" w:rsidRDefault="00B2581D" w:rsidP="00B2581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fr-FR"/>
        </w:rPr>
      </w:pP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b/>
          <w:lang w:val="fr-FR"/>
        </w:rPr>
        <w:t>3)</w:t>
      </w:r>
      <w:r w:rsidRPr="00263400">
        <w:rPr>
          <w:rFonts w:ascii="Arial" w:hAnsi="Arial" w:cs="Arial"/>
          <w:lang w:val="fr-FR"/>
        </w:rPr>
        <w:t xml:space="preserve"> </w:t>
      </w:r>
      <w:r w:rsidRPr="009C2854">
        <w:rPr>
          <w:rFonts w:ascii="Arial" w:hAnsi="Arial" w:cs="Arial"/>
          <w:b/>
          <w:lang w:val="fr-FR"/>
        </w:rPr>
        <w:t>AA</w:t>
      </w:r>
      <w:r>
        <w:rPr>
          <w:rFonts w:ascii="Arial" w:hAnsi="Arial" w:cs="Arial"/>
          <w:lang w:val="fr-FR"/>
        </w:rPr>
        <w:t xml:space="preserve"> avec </w:t>
      </w:r>
      <w:r w:rsidRPr="00263400">
        <w:rPr>
          <w:rFonts w:ascii="Arial" w:hAnsi="Arial" w:cs="Arial"/>
          <w:lang w:val="fr-FR"/>
        </w:rPr>
        <w:t xml:space="preserve">groupes contenant du </w:t>
      </w:r>
      <w:r w:rsidRPr="00B77B82">
        <w:rPr>
          <w:rFonts w:ascii="Arial" w:hAnsi="Arial" w:cs="Arial"/>
          <w:b/>
          <w:lang w:val="fr-FR"/>
        </w:rPr>
        <w:t>R soufre</w:t>
      </w:r>
      <w:r w:rsidRPr="00263400">
        <w:rPr>
          <w:rFonts w:ascii="Arial" w:hAnsi="Arial" w:cs="Arial"/>
          <w:lang w:val="fr-FR"/>
        </w:rPr>
        <w:t xml:space="preserve"> </w:t>
      </w:r>
    </w:p>
    <w:p w:rsidR="00B2581D" w:rsidRDefault="00B2581D" w:rsidP="00B2581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color w:val="FF0000"/>
          <w:lang w:val="fr-FR"/>
        </w:rPr>
        <w:t>Met</w:t>
      </w:r>
      <w:r>
        <w:rPr>
          <w:rFonts w:ascii="Arial" w:hAnsi="Arial" w:cs="Arial"/>
          <w:lang w:val="fr-FR"/>
        </w:rPr>
        <w:t xml:space="preserve"> - méthionine - soufre</w:t>
      </w:r>
      <w:r w:rsidRPr="00263400">
        <w:rPr>
          <w:rFonts w:ascii="Arial" w:hAnsi="Arial" w:cs="Arial"/>
          <w:lang w:val="fr-FR"/>
        </w:rPr>
        <w:t xml:space="preserve"> est interne (hydrophobe) </w:t>
      </w:r>
    </w:p>
    <w:p w:rsidR="00B2581D" w:rsidRDefault="00B2581D" w:rsidP="00B2581D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B77B82">
        <w:rPr>
          <w:rFonts w:ascii="Arial" w:hAnsi="Arial" w:cs="Arial"/>
          <w:color w:val="FF0000"/>
          <w:lang w:val="fr-FR"/>
        </w:rPr>
        <w:t>Cys</w:t>
      </w:r>
      <w:proofErr w:type="spellEnd"/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>cystéine - le</w:t>
      </w:r>
      <w:r>
        <w:rPr>
          <w:rFonts w:ascii="Arial" w:hAnsi="Arial" w:cs="Arial"/>
          <w:lang w:val="fr-FR"/>
        </w:rPr>
        <w:t xml:space="preserve"> soufre est terminale,</w:t>
      </w:r>
      <w:r w:rsidRPr="00263400">
        <w:rPr>
          <w:rFonts w:ascii="Arial" w:hAnsi="Arial" w:cs="Arial"/>
          <w:lang w:val="fr-FR"/>
        </w:rPr>
        <w:t xml:space="preserve"> très réactifs; peut former des liaisons disulfure </w:t>
      </w: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B77B82">
        <w:rPr>
          <w:rFonts w:ascii="Arial" w:hAnsi="Arial" w:cs="Arial"/>
          <w:b/>
          <w:lang w:val="fr-FR"/>
        </w:rPr>
        <w:t>4)</w:t>
      </w:r>
      <w:r>
        <w:rPr>
          <w:rFonts w:ascii="Arial" w:hAnsi="Arial" w:cs="Arial"/>
          <w:lang w:val="fr-FR"/>
        </w:rPr>
        <w:t xml:space="preserve"> </w:t>
      </w:r>
      <w:r w:rsidRPr="009C2854">
        <w:rPr>
          <w:rFonts w:ascii="Arial" w:hAnsi="Arial" w:cs="Arial"/>
          <w:b/>
          <w:lang w:val="fr-FR"/>
        </w:rPr>
        <w:t xml:space="preserve">AA </w:t>
      </w:r>
      <w:r w:rsidRPr="00B77B82">
        <w:rPr>
          <w:rFonts w:ascii="Arial" w:hAnsi="Arial" w:cs="Arial"/>
          <w:b/>
          <w:lang w:val="fr-FR"/>
        </w:rPr>
        <w:t>avec groupes hydroxyle</w:t>
      </w:r>
      <w:r>
        <w:rPr>
          <w:rFonts w:ascii="Arial" w:hAnsi="Arial" w:cs="Arial"/>
          <w:lang w:val="fr-FR"/>
        </w:rPr>
        <w:t xml:space="preserve"> </w:t>
      </w:r>
    </w:p>
    <w:p w:rsidR="00B2581D" w:rsidRDefault="00B2581D" w:rsidP="00B2581D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B77B82">
        <w:rPr>
          <w:rFonts w:ascii="Arial" w:hAnsi="Arial" w:cs="Arial"/>
          <w:color w:val="FF0000"/>
          <w:lang w:val="fr-FR"/>
        </w:rPr>
        <w:t>Ser</w:t>
      </w:r>
      <w:proofErr w:type="spellEnd"/>
      <w:r>
        <w:rPr>
          <w:rFonts w:ascii="Arial" w:hAnsi="Arial" w:cs="Arial"/>
          <w:lang w:val="fr-FR"/>
        </w:rPr>
        <w:t xml:space="preserve"> – serine, </w:t>
      </w:r>
      <w:r w:rsidRPr="00263400">
        <w:rPr>
          <w:rFonts w:ascii="Arial" w:hAnsi="Arial" w:cs="Arial"/>
          <w:lang w:val="fr-FR"/>
        </w:rPr>
        <w:t>hydrophile</w:t>
      </w:r>
    </w:p>
    <w:p w:rsidR="00B2581D" w:rsidRDefault="00B2581D" w:rsidP="00B2581D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B77B82">
        <w:rPr>
          <w:rFonts w:ascii="Arial" w:hAnsi="Arial" w:cs="Arial"/>
          <w:color w:val="FF0000"/>
          <w:lang w:val="fr-FR"/>
        </w:rPr>
        <w:t>Thr</w:t>
      </w:r>
      <w:proofErr w:type="spellEnd"/>
      <w:r w:rsidRPr="00B77B82">
        <w:rPr>
          <w:rFonts w:ascii="Arial" w:hAnsi="Arial" w:cs="Arial"/>
          <w:color w:val="FF0000"/>
          <w:lang w:val="fr-FR"/>
        </w:rPr>
        <w:t xml:space="preserve"> </w:t>
      </w:r>
      <w:r>
        <w:rPr>
          <w:rFonts w:ascii="Arial" w:hAnsi="Arial" w:cs="Arial"/>
          <w:lang w:val="fr-FR"/>
        </w:rPr>
        <w:t>-</w:t>
      </w:r>
      <w:r w:rsidRPr="00263400">
        <w:rPr>
          <w:rFonts w:ascii="Arial" w:hAnsi="Arial" w:cs="Arial"/>
          <w:lang w:val="fr-FR"/>
        </w:rPr>
        <w:t xml:space="preserve"> thréonine </w:t>
      </w: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</w:p>
    <w:p w:rsidR="00B2581D" w:rsidRPr="006F56F8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fr-FR"/>
        </w:rPr>
      </w:pPr>
      <w:r w:rsidRPr="006F56F8">
        <w:rPr>
          <w:rFonts w:ascii="Arial" w:hAnsi="Arial" w:cs="Arial"/>
          <w:b/>
          <w:lang w:val="fr-FR"/>
        </w:rPr>
        <w:t>5)</w:t>
      </w:r>
      <w:r>
        <w:rPr>
          <w:rFonts w:ascii="Arial" w:hAnsi="Arial" w:cs="Arial"/>
          <w:b/>
          <w:lang w:val="fr-FR"/>
        </w:rPr>
        <w:t xml:space="preserve"> AA</w:t>
      </w:r>
      <w:r w:rsidRPr="006F56F8">
        <w:rPr>
          <w:rFonts w:ascii="Arial" w:hAnsi="Arial" w:cs="Arial"/>
          <w:b/>
          <w:lang w:val="fr-FR"/>
        </w:rPr>
        <w:t xml:space="preserve"> basiques </w:t>
      </w:r>
    </w:p>
    <w:p w:rsidR="00B2581D" w:rsidRDefault="00B2581D" w:rsidP="00B2581D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6F56F8">
        <w:rPr>
          <w:rFonts w:ascii="Arial" w:hAnsi="Arial" w:cs="Arial"/>
          <w:color w:val="FF0000"/>
          <w:lang w:val="fr-FR"/>
        </w:rPr>
        <w:t>His</w:t>
      </w:r>
      <w:proofErr w:type="spellEnd"/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>histidine - ch</w:t>
      </w:r>
      <w:r>
        <w:rPr>
          <w:rFonts w:ascii="Arial" w:hAnsi="Arial" w:cs="Arial"/>
          <w:lang w:val="fr-FR"/>
        </w:rPr>
        <w:t xml:space="preserve">aînes latérales hydrophiles </w:t>
      </w:r>
    </w:p>
    <w:p w:rsidR="00B2581D" w:rsidRDefault="00B2581D" w:rsidP="00B2581D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6F56F8">
        <w:rPr>
          <w:rFonts w:ascii="Arial" w:hAnsi="Arial" w:cs="Arial"/>
          <w:color w:val="FF0000"/>
          <w:lang w:val="fr-FR"/>
        </w:rPr>
        <w:t>Lys</w:t>
      </w:r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 xml:space="preserve">lysine </w:t>
      </w:r>
    </w:p>
    <w:p w:rsidR="00B2581D" w:rsidRDefault="00B2581D" w:rsidP="00B2581D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6F56F8">
        <w:rPr>
          <w:rFonts w:ascii="Arial" w:hAnsi="Arial" w:cs="Arial"/>
          <w:color w:val="FF0000"/>
          <w:lang w:val="fr-FR"/>
        </w:rPr>
        <w:t>Arg</w:t>
      </w:r>
      <w:proofErr w:type="spellEnd"/>
      <w:r>
        <w:rPr>
          <w:rFonts w:ascii="Arial" w:hAnsi="Arial" w:cs="Arial"/>
          <w:lang w:val="fr-FR"/>
        </w:rPr>
        <w:t xml:space="preserve"> - </w:t>
      </w:r>
      <w:r w:rsidRPr="00263400">
        <w:rPr>
          <w:rFonts w:ascii="Arial" w:hAnsi="Arial" w:cs="Arial"/>
          <w:lang w:val="fr-FR"/>
        </w:rPr>
        <w:t xml:space="preserve">arginine - base forte </w:t>
      </w: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9C2854">
        <w:rPr>
          <w:rFonts w:ascii="Arial" w:hAnsi="Arial" w:cs="Arial"/>
          <w:b/>
          <w:lang w:val="fr-FR"/>
        </w:rPr>
        <w:t>6) AA</w:t>
      </w:r>
      <w:r>
        <w:rPr>
          <w:rFonts w:ascii="Arial" w:hAnsi="Arial" w:cs="Arial"/>
          <w:lang w:val="fr-FR"/>
        </w:rPr>
        <w:t xml:space="preserve"> </w:t>
      </w:r>
      <w:proofErr w:type="spellStart"/>
      <w:r w:rsidRPr="009C2854">
        <w:rPr>
          <w:rFonts w:ascii="Arial" w:hAnsi="Arial" w:cs="Arial"/>
          <w:b/>
          <w:lang w:val="fr-FR"/>
        </w:rPr>
        <w:t>acidique</w:t>
      </w:r>
      <w:proofErr w:type="spellEnd"/>
      <w:r>
        <w:rPr>
          <w:rFonts w:ascii="Arial" w:hAnsi="Arial" w:cs="Arial"/>
          <w:lang w:val="fr-FR"/>
        </w:rPr>
        <w:t xml:space="preserve"> (avec </w:t>
      </w:r>
      <w:r w:rsidRPr="00263400">
        <w:rPr>
          <w:rFonts w:ascii="Arial" w:hAnsi="Arial" w:cs="Arial"/>
          <w:lang w:val="fr-FR"/>
        </w:rPr>
        <w:t>des groupes R acides et dérivés amides</w:t>
      </w:r>
      <w:r>
        <w:rPr>
          <w:rFonts w:ascii="Arial" w:hAnsi="Arial" w:cs="Arial"/>
          <w:lang w:val="fr-FR"/>
        </w:rPr>
        <w:t>)</w:t>
      </w:r>
    </w:p>
    <w:p w:rsidR="00B2581D" w:rsidRDefault="00B2581D" w:rsidP="00B2581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proofErr w:type="spellStart"/>
      <w:r w:rsidRPr="006F56F8">
        <w:rPr>
          <w:rFonts w:ascii="Arial" w:hAnsi="Arial" w:cs="Arial"/>
          <w:color w:val="FF0000"/>
          <w:lang w:val="fr-FR"/>
        </w:rPr>
        <w:t>Asp</w:t>
      </w:r>
      <w:proofErr w:type="spellEnd"/>
      <w:r>
        <w:rPr>
          <w:rFonts w:ascii="Arial" w:hAnsi="Arial" w:cs="Arial"/>
          <w:lang w:val="fr-FR"/>
        </w:rPr>
        <w:t xml:space="preserve"> - </w:t>
      </w:r>
      <w:proofErr w:type="spellStart"/>
      <w:r w:rsidRPr="00263400">
        <w:rPr>
          <w:rFonts w:ascii="Arial" w:hAnsi="Arial" w:cs="Arial"/>
          <w:lang w:val="fr-FR"/>
        </w:rPr>
        <w:t>aspartate</w:t>
      </w:r>
      <w:proofErr w:type="spellEnd"/>
      <w:r w:rsidRPr="00263400">
        <w:rPr>
          <w:rFonts w:ascii="Arial" w:hAnsi="Arial" w:cs="Arial"/>
          <w:lang w:val="fr-FR"/>
        </w:rPr>
        <w:t xml:space="preserve"> </w:t>
      </w:r>
    </w:p>
    <w:p w:rsidR="00B2581D" w:rsidRDefault="00B2581D" w:rsidP="00B2581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6F56F8">
        <w:rPr>
          <w:rFonts w:ascii="Arial" w:hAnsi="Arial" w:cs="Arial"/>
          <w:color w:val="FF0000"/>
          <w:lang w:val="fr-FR"/>
        </w:rPr>
        <w:t>Glu</w:t>
      </w:r>
      <w:r>
        <w:rPr>
          <w:rFonts w:ascii="Arial" w:hAnsi="Arial" w:cs="Arial"/>
          <w:lang w:val="fr-FR"/>
        </w:rPr>
        <w:t xml:space="preserve"> - glutamate </w:t>
      </w:r>
    </w:p>
    <w:p w:rsidR="00B2581D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</w:p>
    <w:p w:rsidR="00B2581D" w:rsidRPr="009C2854" w:rsidRDefault="00B2581D" w:rsidP="00B2581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(</w:t>
      </w:r>
      <w:proofErr w:type="gramStart"/>
      <w:r>
        <w:rPr>
          <w:rFonts w:ascii="Arial" w:hAnsi="Arial" w:cs="Arial"/>
          <w:lang w:val="fr-FR"/>
        </w:rPr>
        <w:t>et</w:t>
      </w:r>
      <w:proofErr w:type="gramEnd"/>
      <w:r>
        <w:rPr>
          <w:rFonts w:ascii="Arial" w:hAnsi="Arial" w:cs="Arial"/>
          <w:lang w:val="fr-FR"/>
        </w:rPr>
        <w:t xml:space="preserve"> asparagine - </w:t>
      </w:r>
      <w:proofErr w:type="spellStart"/>
      <w:r>
        <w:rPr>
          <w:rFonts w:ascii="Arial" w:hAnsi="Arial" w:cs="Arial"/>
          <w:lang w:val="fr-FR"/>
        </w:rPr>
        <w:t>Asn</w:t>
      </w:r>
      <w:proofErr w:type="spellEnd"/>
      <w:r>
        <w:rPr>
          <w:rFonts w:ascii="Arial" w:hAnsi="Arial" w:cs="Arial"/>
          <w:lang w:val="fr-FR"/>
        </w:rPr>
        <w:t xml:space="preserve"> et glutamine - </w:t>
      </w:r>
      <w:proofErr w:type="spellStart"/>
      <w:r>
        <w:rPr>
          <w:rFonts w:ascii="Arial" w:hAnsi="Arial" w:cs="Arial"/>
          <w:lang w:val="fr-FR"/>
        </w:rPr>
        <w:t>Gln</w:t>
      </w:r>
      <w:proofErr w:type="spellEnd"/>
      <w:r>
        <w:rPr>
          <w:rFonts w:ascii="Arial" w:hAnsi="Arial" w:cs="Arial"/>
          <w:lang w:val="fr-FR"/>
        </w:rPr>
        <w:t>, les</w:t>
      </w:r>
      <w:r w:rsidRPr="00263400">
        <w:rPr>
          <w:rFonts w:ascii="Arial" w:hAnsi="Arial" w:cs="Arial"/>
          <w:lang w:val="fr-FR"/>
        </w:rPr>
        <w:t xml:space="preserve"> </w:t>
      </w:r>
      <w:r w:rsidRPr="00E652FA">
        <w:rPr>
          <w:rFonts w:ascii="Arial" w:hAnsi="Arial" w:cs="Arial"/>
          <w:b/>
          <w:lang w:val="fr-FR"/>
        </w:rPr>
        <w:t>amides</w:t>
      </w:r>
      <w:r w:rsidRPr="00263400">
        <w:rPr>
          <w:rFonts w:ascii="Arial" w:hAnsi="Arial" w:cs="Arial"/>
          <w:lang w:val="fr-FR"/>
        </w:rPr>
        <w:t xml:space="preserve"> des </w:t>
      </w:r>
      <w:r>
        <w:rPr>
          <w:rFonts w:ascii="Arial" w:hAnsi="Arial" w:cs="Arial"/>
          <w:lang w:val="fr-FR"/>
        </w:rPr>
        <w:t xml:space="preserve">les deux </w:t>
      </w:r>
      <w:proofErr w:type="spellStart"/>
      <w:r>
        <w:rPr>
          <w:rFonts w:ascii="Arial" w:hAnsi="Arial" w:cs="Arial"/>
          <w:lang w:val="fr-FR"/>
        </w:rPr>
        <w:t>aa</w:t>
      </w:r>
      <w:proofErr w:type="spellEnd"/>
      <w:r>
        <w:rPr>
          <w:rFonts w:ascii="Arial" w:hAnsi="Arial" w:cs="Arial"/>
          <w:lang w:val="fr-FR"/>
        </w:rPr>
        <w:t>)</w:t>
      </w:r>
    </w:p>
    <w:tbl>
      <w:tblPr>
        <w:tblW w:w="10620" w:type="dxa"/>
        <w:tblCellSpacing w:w="15" w:type="dxa"/>
        <w:tblInd w:w="75" w:type="dxa"/>
        <w:tblLayout w:type="fixed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7988"/>
        <w:gridCol w:w="2632"/>
      </w:tblGrid>
      <w:tr w:rsidR="00B2581D" w:rsidRPr="00217B25" w:rsidTr="00F33D2A">
        <w:trPr>
          <w:gridAfter w:val="1"/>
          <w:wAfter w:w="2587" w:type="dxa"/>
          <w:trHeight w:val="132"/>
          <w:tblCellSpacing w:w="15" w:type="dxa"/>
        </w:trPr>
        <w:tc>
          <w:tcPr>
            <w:tcW w:w="7943" w:type="dxa"/>
            <w:vAlign w:val="center"/>
            <w:hideMark/>
          </w:tcPr>
          <w:p w:rsidR="00B2581D" w:rsidRPr="005E6263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B2581D" w:rsidRPr="00217B25" w:rsidTr="00F33D2A">
        <w:trPr>
          <w:trHeight w:val="164"/>
          <w:tblCellSpacing w:w="15" w:type="dxa"/>
        </w:trPr>
        <w:tc>
          <w:tcPr>
            <w:tcW w:w="10560" w:type="dxa"/>
            <w:gridSpan w:val="2"/>
            <w:vAlign w:val="center"/>
            <w:hideMark/>
          </w:tcPr>
          <w:p w:rsidR="00B2581D" w:rsidRPr="00B2581D" w:rsidRDefault="00B2581D" w:rsidP="00B2581D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217B25">
              <w:rPr>
                <w:rFonts w:ascii="Arial" w:hAnsi="Arial" w:cs="Arial"/>
                <w:lang w:val="fr-FR"/>
              </w:rPr>
              <w:t xml:space="preserve">. </w:t>
            </w:r>
          </w:p>
          <w:p w:rsidR="00B2581D" w:rsidRPr="00217B25" w:rsidRDefault="00B2581D" w:rsidP="00F33D2A">
            <w:pPr>
              <w:rPr>
                <w:lang w:val="en-US"/>
              </w:rPr>
            </w:pPr>
            <w:r>
              <w:rPr>
                <w:noProof/>
                <w:lang w:eastAsia="ro-RO"/>
              </w:rPr>
              <w:lastRenderedPageBreak/>
              <w:drawing>
                <wp:inline distT="0" distB="0" distL="0" distR="0">
                  <wp:extent cx="6200775" cy="2943225"/>
                  <wp:effectExtent l="19050" t="0" r="9525" b="0"/>
                  <wp:docPr id="88" name="Picture 88" descr="Charg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harg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Pr="00217B25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217B25">
              <w:rPr>
                <w:rFonts w:ascii="Arial" w:hAnsi="Arial" w:cs="Arial"/>
                <w:lang w:val="fr-FR"/>
              </w:rPr>
              <w:t>Les deux acides aminés acides ont des dérivés dont le groupement acide (-COOH) est changé pour un groupement amide (-CONH</w:t>
            </w:r>
            <w:r w:rsidRPr="00217B25">
              <w:rPr>
                <w:rFonts w:ascii="Arial" w:hAnsi="Arial" w:cs="Arial"/>
                <w:vertAlign w:val="subscript"/>
                <w:lang w:val="fr-FR"/>
              </w:rPr>
              <w:t>2</w:t>
            </w:r>
            <w:r w:rsidRPr="00217B25">
              <w:rPr>
                <w:rFonts w:ascii="Arial" w:hAnsi="Arial" w:cs="Arial"/>
                <w:lang w:val="fr-FR"/>
              </w:rPr>
              <w:t xml:space="preserve">). Il s'agit de l'asparagine (N, </w:t>
            </w:r>
            <w:proofErr w:type="spellStart"/>
            <w:r w:rsidRPr="00217B25">
              <w:rPr>
                <w:rFonts w:ascii="Arial" w:hAnsi="Arial" w:cs="Arial"/>
                <w:lang w:val="fr-FR"/>
              </w:rPr>
              <w:t>Asn</w:t>
            </w:r>
            <w:proofErr w:type="spellEnd"/>
            <w:r w:rsidRPr="00217B25">
              <w:rPr>
                <w:rFonts w:ascii="Arial" w:hAnsi="Arial" w:cs="Arial"/>
                <w:lang w:val="fr-FR"/>
              </w:rPr>
              <w:t xml:space="preserve">) pour l'acide aspartique et de la glutamine (Q, </w:t>
            </w:r>
            <w:proofErr w:type="spellStart"/>
            <w:r w:rsidRPr="00217B25">
              <w:rPr>
                <w:rFonts w:ascii="Arial" w:hAnsi="Arial" w:cs="Arial"/>
                <w:lang w:val="fr-FR"/>
              </w:rPr>
              <w:t>Gln</w:t>
            </w:r>
            <w:proofErr w:type="spellEnd"/>
            <w:r w:rsidRPr="00217B25">
              <w:rPr>
                <w:rFonts w:ascii="Arial" w:hAnsi="Arial" w:cs="Arial"/>
                <w:lang w:val="fr-FR"/>
              </w:rPr>
              <w:t>) pour l'acide glutamique. Ces deux acides aminés sont non-chargés à pH neutre mais restent polaires et hydrophiles.</w:t>
            </w:r>
          </w:p>
          <w:p w:rsidR="00B2581D" w:rsidRDefault="00B2581D" w:rsidP="00F33D2A">
            <w:pPr>
              <w:pStyle w:val="NormalWeb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57500" cy="2695575"/>
                  <wp:effectExtent l="19050" t="0" r="0" b="0"/>
                  <wp:docPr id="89" name="Picture 89" descr="Am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m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Default="00B2581D" w:rsidP="00F33D2A">
            <w:pPr>
              <w:pStyle w:val="NormalWeb"/>
              <w:jc w:val="both"/>
            </w:pP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217B25">
              <w:rPr>
                <w:rFonts w:ascii="Arial" w:hAnsi="Arial" w:cs="Arial"/>
                <w:lang w:val="fr-FR"/>
              </w:rPr>
              <w:t xml:space="preserve">La sérine (S, </w:t>
            </w:r>
            <w:proofErr w:type="spellStart"/>
            <w:r w:rsidRPr="00217B25">
              <w:rPr>
                <w:rFonts w:ascii="Arial" w:hAnsi="Arial" w:cs="Arial"/>
                <w:lang w:val="fr-FR"/>
              </w:rPr>
              <w:t>Ser</w:t>
            </w:r>
            <w:proofErr w:type="spellEnd"/>
            <w:r w:rsidRPr="00217B25">
              <w:rPr>
                <w:rFonts w:ascii="Arial" w:hAnsi="Arial" w:cs="Arial"/>
                <w:lang w:val="fr-FR"/>
              </w:rPr>
              <w:t xml:space="preserve">) et la thréonine (T, </w:t>
            </w:r>
            <w:proofErr w:type="spellStart"/>
            <w:r w:rsidRPr="00217B25">
              <w:rPr>
                <w:rFonts w:ascii="Arial" w:hAnsi="Arial" w:cs="Arial"/>
                <w:lang w:val="fr-FR"/>
              </w:rPr>
              <w:t>Thr</w:t>
            </w:r>
            <w:proofErr w:type="spellEnd"/>
            <w:r w:rsidRPr="00217B25">
              <w:rPr>
                <w:rFonts w:ascii="Arial" w:hAnsi="Arial" w:cs="Arial"/>
                <w:lang w:val="fr-FR"/>
              </w:rPr>
              <w:t xml:space="preserve">) ont un groupement </w:t>
            </w:r>
            <w:proofErr w:type="spellStart"/>
            <w:r w:rsidRPr="00217B25">
              <w:rPr>
                <w:rFonts w:ascii="Arial" w:hAnsi="Arial" w:cs="Arial"/>
                <w:lang w:val="fr-FR"/>
              </w:rPr>
              <w:t>hydroxyl</w:t>
            </w:r>
            <w:proofErr w:type="spellEnd"/>
            <w:r w:rsidRPr="00217B25">
              <w:rPr>
                <w:rFonts w:ascii="Arial" w:hAnsi="Arial" w:cs="Arial"/>
                <w:lang w:val="fr-FR"/>
              </w:rPr>
              <w:t xml:space="preserve"> (-OH) dans leur chaîne latérale. Cela leur permet d'interagir avec l'eau et d'autres molécules en formant des ponts hydrogènes, ou d'être la cible de modifications utilisant ce site réactionnel.</w:t>
            </w: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  <w:p w:rsidR="00B2581D" w:rsidRDefault="00B2581D" w:rsidP="00F33D2A">
            <w:pPr>
              <w:pStyle w:val="NormalWeb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38475" cy="2133600"/>
                  <wp:effectExtent l="19050" t="0" r="9525" b="0"/>
                  <wp:docPr id="90" name="Picture 90" descr="SerT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erT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CB3C56">
              <w:rPr>
                <w:rFonts w:ascii="Arial" w:hAnsi="Arial" w:cs="Arial"/>
                <w:lang w:val="fr-FR"/>
              </w:rPr>
              <w:t xml:space="preserve">Les acides aminés contenant des cycles comme la phénylalanine (F,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Phe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), le tryptophane (W,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Trp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) ou la tyrosine (Y, Tyr) sont très hydrophobiques; c'est le cas aussi de leurs congénères dont la chaîne latérale consiste en une succession de groupements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éthyl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- et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méthyl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-. On dit de ceux-ci qu'ils sont </w:t>
            </w:r>
            <w:r w:rsidRPr="00CB3C56">
              <w:rPr>
                <w:rFonts w:ascii="Arial" w:hAnsi="Arial" w:cs="Arial"/>
                <w:b/>
                <w:bCs/>
                <w:lang w:val="fr-FR"/>
              </w:rPr>
              <w:t>aliphatiques</w:t>
            </w:r>
            <w:r w:rsidRPr="00CB3C56">
              <w:rPr>
                <w:rFonts w:ascii="Arial" w:hAnsi="Arial" w:cs="Arial"/>
                <w:lang w:val="fr-FR"/>
              </w:rPr>
              <w:t xml:space="preserve">. L'alanine (A,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Ala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), la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la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 valine (V, Val), la leucine (L, Leu), L'isoleucine (I, Ile) sont tous des acides aminés aliphatiques.</w:t>
            </w:r>
          </w:p>
          <w:p w:rsidR="00B2581D" w:rsidRDefault="00B2581D" w:rsidP="00F33D2A">
            <w:pPr>
              <w:pStyle w:val="NormalWeb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286250" cy="2314575"/>
                  <wp:effectExtent l="19050" t="0" r="0" b="0"/>
                  <wp:docPr id="91" name="Picture 91" descr="Aroma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Aroma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Pr="00CB3C56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>
                  <wp:extent cx="8096250" cy="2209800"/>
                  <wp:effectExtent l="19050" t="0" r="0" b="0"/>
                  <wp:docPr id="92" name="Picture 92" descr="Alipha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Alipha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CB3C56">
              <w:rPr>
                <w:rFonts w:ascii="Arial" w:hAnsi="Arial" w:cs="Arial"/>
                <w:lang w:val="fr-FR"/>
              </w:rPr>
              <w:t xml:space="preserve">On inclut généralement dans cette famille la méthionine (M, Met), dont la chaîne latérale plutôt </w:t>
            </w:r>
            <w:r w:rsidRPr="00CB3C56">
              <w:rPr>
                <w:rFonts w:ascii="Arial" w:hAnsi="Arial" w:cs="Arial"/>
                <w:lang w:val="fr-FR"/>
              </w:rPr>
              <w:lastRenderedPageBreak/>
              <w:t>aliphatique contient un soufre non réactif. Notons que la tyrosine, malgré son caractère hydrophobique dû au cycle benzénique, a tout de même un groupement -OH qui, à l'instar de la sérine et de la thréonine, lui permet d'interagir avec l'eau ou d'être la cible de réaction utilisant les groupements hydroxylés.</w:t>
            </w:r>
          </w:p>
          <w:p w:rsidR="00B2581D" w:rsidRDefault="00B2581D" w:rsidP="00F33D2A">
            <w:pPr>
              <w:pStyle w:val="NormalWeb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2038350"/>
                  <wp:effectExtent l="19050" t="0" r="0" b="0"/>
                  <wp:docPr id="93" name="Picture 93" descr="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CB3C56">
              <w:rPr>
                <w:rFonts w:ascii="Arial" w:hAnsi="Arial" w:cs="Arial"/>
                <w:lang w:val="fr-FR"/>
              </w:rPr>
              <w:t xml:space="preserve">La cystéine (C,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Cys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) est un peu dans une classe à part, car elle a à l'extrémité de sa chaîne latérale un groupement </w:t>
            </w:r>
            <w:proofErr w:type="spellStart"/>
            <w:r w:rsidRPr="00CB3C56">
              <w:rPr>
                <w:rFonts w:ascii="Arial" w:hAnsi="Arial" w:cs="Arial"/>
                <w:lang w:val="fr-FR"/>
              </w:rPr>
              <w:t>sulfhydryl</w:t>
            </w:r>
            <w:proofErr w:type="spellEnd"/>
            <w:r w:rsidRPr="00CB3C56">
              <w:rPr>
                <w:rFonts w:ascii="Arial" w:hAnsi="Arial" w:cs="Arial"/>
                <w:lang w:val="fr-FR"/>
              </w:rPr>
              <w:t xml:space="preserve"> réactif.</w:t>
            </w:r>
          </w:p>
          <w:p w:rsidR="00B2581D" w:rsidRDefault="00B2581D" w:rsidP="00F33D2A">
            <w:pPr>
              <w:pStyle w:val="NormalWeb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71825" cy="1724025"/>
                  <wp:effectExtent l="19050" t="0" r="9525" b="0"/>
                  <wp:docPr id="94" name="Picture 94" descr="cyst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yst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CB3C56">
              <w:rPr>
                <w:rFonts w:ascii="Arial" w:hAnsi="Arial" w:cs="Arial"/>
                <w:lang w:val="fr-FR"/>
              </w:rPr>
              <w:t>Dans des conditions oxydantes, une cystéine forme fréquemment un pont disulfure avec une autre cystéine pour donner un dimère qu'on appelle cystine. Les cystéines contribuent à maintenir la structure tridimensionnelle de très nombreuses protéines grâce à cette faculté.</w:t>
            </w:r>
          </w:p>
          <w:p w:rsidR="00B2581D" w:rsidRDefault="00B2581D" w:rsidP="00B2581D">
            <w:pPr>
              <w:pStyle w:val="NormalWeb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  <w:lang w:val="fr-FR"/>
              </w:rPr>
            </w:pPr>
            <w:r w:rsidRPr="00263400">
              <w:rPr>
                <w:b/>
                <w:sz w:val="28"/>
                <w:szCs w:val="28"/>
                <w:lang w:val="fr-FR"/>
              </w:rPr>
              <w:t>PROPRIETES DES AA</w:t>
            </w:r>
          </w:p>
          <w:p w:rsidR="00B2581D" w:rsidRPr="005E6263" w:rsidRDefault="00B2581D" w:rsidP="00B2581D">
            <w:pPr>
              <w:pStyle w:val="NormalWeb"/>
              <w:numPr>
                <w:ilvl w:val="0"/>
                <w:numId w:val="14"/>
              </w:numPr>
              <w:spacing w:before="0" w:beforeAutospacing="0" w:after="120" w:afterAutospacing="0"/>
              <w:jc w:val="both"/>
              <w:rPr>
                <w:b/>
                <w:lang w:val="fr-FR"/>
              </w:rPr>
            </w:pPr>
            <w:r w:rsidRPr="005E6263">
              <w:rPr>
                <w:b/>
                <w:lang w:val="fr-FR"/>
              </w:rPr>
              <w:t xml:space="preserve">Liées de groupement COOH </w:t>
            </w:r>
          </w:p>
          <w:p w:rsidR="00B2581D" w:rsidRPr="005E6263" w:rsidRDefault="00B2581D" w:rsidP="00B2581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1980"/>
              <w:jc w:val="both"/>
              <w:rPr>
                <w:lang w:val="fr-FR"/>
              </w:rPr>
            </w:pPr>
            <w:r w:rsidRPr="005E6263">
              <w:rPr>
                <w:lang w:val="fr-FR"/>
              </w:rPr>
              <w:t>formation des sels (avec métallos)</w:t>
            </w:r>
          </w:p>
          <w:p w:rsidR="00B2581D" w:rsidRPr="005E6263" w:rsidRDefault="00B2581D" w:rsidP="00B2581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1980"/>
              <w:jc w:val="both"/>
              <w:rPr>
                <w:lang w:val="fr-FR"/>
              </w:rPr>
            </w:pPr>
            <w:r w:rsidRPr="005E6263">
              <w:rPr>
                <w:lang w:val="fr-FR"/>
              </w:rPr>
              <w:t>réaction avec alcools (formation d’esters)</w:t>
            </w:r>
          </w:p>
          <w:p w:rsidR="00B2581D" w:rsidRPr="005E6263" w:rsidRDefault="00B2581D" w:rsidP="00B2581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1980"/>
              <w:jc w:val="both"/>
              <w:rPr>
                <w:lang w:val="fr-FR"/>
              </w:rPr>
            </w:pPr>
            <w:r w:rsidRPr="005E6263">
              <w:rPr>
                <w:lang w:val="fr-FR"/>
              </w:rPr>
              <w:t>décarboxylation (résulte des amines biogènes)</w:t>
            </w:r>
          </w:p>
          <w:p w:rsidR="00B2581D" w:rsidRPr="005E6263" w:rsidRDefault="00B2581D" w:rsidP="00B2581D">
            <w:pPr>
              <w:pStyle w:val="NormalWeb"/>
              <w:numPr>
                <w:ilvl w:val="1"/>
                <w:numId w:val="15"/>
              </w:numPr>
              <w:spacing w:before="0" w:beforeAutospacing="0" w:after="120" w:afterAutospacing="0"/>
              <w:ind w:left="1987"/>
              <w:jc w:val="both"/>
              <w:rPr>
                <w:lang w:val="fr-FR"/>
              </w:rPr>
            </w:pPr>
            <w:r w:rsidRPr="005E6263">
              <w:rPr>
                <w:lang w:val="fr-FR"/>
              </w:rPr>
              <w:t>formation des amides (réaction avec NH</w:t>
            </w:r>
            <w:r w:rsidRPr="005E6263">
              <w:rPr>
                <w:vertAlign w:val="subscript"/>
                <w:lang w:val="fr-FR"/>
              </w:rPr>
              <w:t>3</w:t>
            </w:r>
            <w:r w:rsidRPr="005E6263">
              <w:rPr>
                <w:lang w:val="fr-FR"/>
              </w:rPr>
              <w:t xml:space="preserve">, seulement pour les </w:t>
            </w:r>
            <w:proofErr w:type="spellStart"/>
            <w:r w:rsidRPr="005E6263">
              <w:rPr>
                <w:lang w:val="fr-FR"/>
              </w:rPr>
              <w:t>aa</w:t>
            </w:r>
            <w:proofErr w:type="spellEnd"/>
            <w:r w:rsidRPr="005E6263">
              <w:rPr>
                <w:lang w:val="fr-FR"/>
              </w:rPr>
              <w:t xml:space="preserve"> dicarbonylés)</w:t>
            </w:r>
          </w:p>
          <w:p w:rsidR="00B2581D" w:rsidRPr="005E6263" w:rsidRDefault="00B2581D" w:rsidP="00B2581D">
            <w:pPr>
              <w:pStyle w:val="NormalWeb"/>
              <w:numPr>
                <w:ilvl w:val="0"/>
                <w:numId w:val="14"/>
              </w:numPr>
              <w:spacing w:before="0" w:beforeAutospacing="0" w:after="120" w:afterAutospacing="0"/>
              <w:jc w:val="both"/>
              <w:rPr>
                <w:b/>
                <w:lang w:val="fr-FR"/>
              </w:rPr>
            </w:pPr>
            <w:r w:rsidRPr="005E6263">
              <w:rPr>
                <w:b/>
                <w:lang w:val="fr-FR"/>
              </w:rPr>
              <w:t>Liées de groupement NH</w:t>
            </w:r>
            <w:r w:rsidRPr="005E6263">
              <w:rPr>
                <w:b/>
                <w:vertAlign w:val="subscript"/>
                <w:lang w:val="fr-FR"/>
              </w:rPr>
              <w:t>2</w:t>
            </w:r>
          </w:p>
          <w:p w:rsidR="00B2581D" w:rsidRPr="005E6263" w:rsidRDefault="00B2581D" w:rsidP="00B2581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lang w:val="fr-FR"/>
              </w:rPr>
            </w:pPr>
            <w:r w:rsidRPr="005E6263">
              <w:rPr>
                <w:lang w:val="fr-FR"/>
              </w:rPr>
              <w:t xml:space="preserve">réaction avec l’aldéhyde (formation des bases </w:t>
            </w:r>
            <w:proofErr w:type="spellStart"/>
            <w:r w:rsidRPr="005E6263">
              <w:rPr>
                <w:lang w:val="fr-FR"/>
              </w:rPr>
              <w:t>Schiff</w:t>
            </w:r>
            <w:proofErr w:type="spellEnd"/>
            <w:r w:rsidRPr="005E6263">
              <w:rPr>
                <w:lang w:val="fr-FR"/>
              </w:rPr>
              <w:t>)</w:t>
            </w:r>
          </w:p>
          <w:p w:rsidR="00B2581D" w:rsidRPr="005E6263" w:rsidRDefault="00B2581D" w:rsidP="00B2581D">
            <w:pPr>
              <w:pStyle w:val="NormalWeb"/>
              <w:numPr>
                <w:ilvl w:val="0"/>
                <w:numId w:val="16"/>
              </w:numPr>
              <w:spacing w:before="0" w:beforeAutospacing="0" w:after="120" w:afterAutospacing="0"/>
              <w:jc w:val="both"/>
              <w:rPr>
                <w:lang w:val="fr-FR"/>
              </w:rPr>
            </w:pPr>
            <w:r w:rsidRPr="005E6263">
              <w:rPr>
                <w:lang w:val="fr-FR"/>
              </w:rPr>
              <w:t xml:space="preserve">désamination (résultant en formation d’ammoniac et des acides, </w:t>
            </w:r>
            <w:proofErr w:type="spellStart"/>
            <w:r w:rsidRPr="005E6263">
              <w:rPr>
                <w:lang w:val="fr-FR"/>
              </w:rPr>
              <w:t>cetoacides</w:t>
            </w:r>
            <w:proofErr w:type="spellEnd"/>
            <w:r w:rsidRPr="005E6263">
              <w:rPr>
                <w:lang w:val="fr-FR"/>
              </w:rPr>
              <w:t xml:space="preserve"> ou </w:t>
            </w:r>
            <w:proofErr w:type="spellStart"/>
            <w:r w:rsidRPr="005E6263">
              <w:rPr>
                <w:lang w:val="fr-FR"/>
              </w:rPr>
              <w:t>hydroxyacides</w:t>
            </w:r>
            <w:proofErr w:type="spellEnd"/>
            <w:r w:rsidRPr="005E6263">
              <w:rPr>
                <w:lang w:val="fr-FR"/>
              </w:rPr>
              <w:t>)</w:t>
            </w:r>
          </w:p>
          <w:p w:rsidR="00B2581D" w:rsidRPr="005E6263" w:rsidRDefault="00B2581D" w:rsidP="00B2581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/>
                <w:lang w:val="fr-FR"/>
              </w:rPr>
            </w:pPr>
            <w:r w:rsidRPr="005E6263">
              <w:rPr>
                <w:b/>
                <w:lang w:val="fr-FR"/>
              </w:rPr>
              <w:lastRenderedPageBreak/>
              <w:t>Liées des les deux groupement </w:t>
            </w:r>
            <w:proofErr w:type="gramStart"/>
            <w:r w:rsidRPr="005E6263">
              <w:rPr>
                <w:b/>
                <w:lang w:val="fr-FR"/>
              </w:rPr>
              <w:t>:  NH</w:t>
            </w:r>
            <w:r w:rsidRPr="005E6263">
              <w:rPr>
                <w:b/>
                <w:vertAlign w:val="subscript"/>
                <w:lang w:val="fr-FR"/>
              </w:rPr>
              <w:t>2</w:t>
            </w:r>
            <w:proofErr w:type="gramEnd"/>
            <w:r w:rsidRPr="005E6263">
              <w:rPr>
                <w:b/>
                <w:lang w:val="fr-FR"/>
              </w:rPr>
              <w:t xml:space="preserve"> et COOH</w:t>
            </w:r>
          </w:p>
          <w:p w:rsidR="00B2581D" w:rsidRPr="005E6263" w:rsidRDefault="00B2581D" w:rsidP="00B2581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fr-FR"/>
              </w:rPr>
            </w:pPr>
            <w:r w:rsidRPr="005E6263">
              <w:rPr>
                <w:lang w:val="fr-FR"/>
              </w:rPr>
              <w:t xml:space="preserve">Couplage des </w:t>
            </w:r>
            <w:proofErr w:type="spellStart"/>
            <w:r w:rsidRPr="005E6263">
              <w:rPr>
                <w:lang w:val="fr-FR"/>
              </w:rPr>
              <w:t>aa</w:t>
            </w:r>
            <w:proofErr w:type="spellEnd"/>
            <w:r w:rsidRPr="005E6263">
              <w:rPr>
                <w:lang w:val="fr-FR"/>
              </w:rPr>
              <w:t>, en formant des peptides.</w:t>
            </w:r>
          </w:p>
          <w:p w:rsidR="00B2581D" w:rsidRPr="005E6263" w:rsidRDefault="00B2581D" w:rsidP="00F33D2A">
            <w:pPr>
              <w:pStyle w:val="NormalWeb"/>
              <w:rPr>
                <w:lang w:val="fr-FR"/>
              </w:rPr>
            </w:pPr>
            <w:r w:rsidRPr="007C6369">
              <w:rPr>
                <w:rFonts w:ascii="Arial" w:hAnsi="Arial" w:cs="Arial"/>
                <w:lang w:val="fr-FR"/>
              </w:rPr>
              <w:t xml:space="preserve">Quelques acides aminés qu'on ne retrouve pas dans les protéines. </w:t>
            </w:r>
          </w:p>
          <w:p w:rsidR="00B2581D" w:rsidRPr="005E6263" w:rsidRDefault="00B2581D" w:rsidP="00F33D2A">
            <w:pPr>
              <w:pStyle w:val="NormalWeb"/>
              <w:jc w:val="both"/>
              <w:rPr>
                <w:rFonts w:ascii="Arial" w:hAnsi="Arial" w:cs="Arial"/>
                <w:b/>
                <w:lang w:val="fr-FR"/>
              </w:rPr>
            </w:pPr>
            <w:r w:rsidRPr="005E6263">
              <w:rPr>
                <w:rFonts w:ascii="Arial" w:hAnsi="Arial" w:cs="Arial"/>
                <w:b/>
                <w:lang w:val="fr-FR"/>
              </w:rPr>
              <w:t xml:space="preserve">Des acides aminés peuvent avoir des rôles cruciaux sans être impliqués dans la synthèse protéique. </w:t>
            </w: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</w:rPr>
            </w:pPr>
            <w:r w:rsidRPr="007C6369">
              <w:rPr>
                <w:rFonts w:ascii="Arial" w:hAnsi="Arial" w:cs="Arial"/>
              </w:rPr>
              <w:t>En voici</w:t>
            </w:r>
            <w:r w:rsidRPr="00E652FA">
              <w:rPr>
                <w:rFonts w:ascii="Arial" w:hAnsi="Arial" w:cs="Arial"/>
                <w:lang w:val="fr-FR"/>
              </w:rPr>
              <w:t xml:space="preserve"> quelques</w:t>
            </w:r>
            <w:r w:rsidRPr="007C6369">
              <w:rPr>
                <w:rFonts w:ascii="Arial" w:hAnsi="Arial" w:cs="Arial"/>
              </w:rPr>
              <w:t xml:space="preserve"> examples.</w:t>
            </w:r>
          </w:p>
          <w:p w:rsidR="00B2581D" w:rsidRDefault="00B2581D" w:rsidP="00F33D2A">
            <w:pPr>
              <w:pStyle w:val="NormalWeb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933825" cy="3038475"/>
                  <wp:effectExtent l="19050" t="0" r="9525" b="0"/>
                  <wp:docPr id="96" name="Picture 96" descr="T3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3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1D" w:rsidRDefault="00B2581D" w:rsidP="00F33D2A">
            <w:pPr>
              <w:pStyle w:val="NormalWeb"/>
              <w:jc w:val="both"/>
            </w:pP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7C6369">
              <w:rPr>
                <w:rFonts w:ascii="Arial" w:hAnsi="Arial" w:cs="Arial"/>
                <w:lang w:val="fr-FR"/>
              </w:rPr>
              <w:t xml:space="preserve">Les </w:t>
            </w:r>
            <w:r w:rsidRPr="005E6263">
              <w:rPr>
                <w:rFonts w:ascii="Arial" w:hAnsi="Arial" w:cs="Arial"/>
                <w:b/>
                <w:lang w:val="fr-FR"/>
              </w:rPr>
              <w:t>hormones thyroïdiennes</w:t>
            </w:r>
            <w:r w:rsidRPr="007C6369">
              <w:rPr>
                <w:rFonts w:ascii="Arial" w:hAnsi="Arial" w:cs="Arial"/>
                <w:lang w:val="fr-FR"/>
              </w:rPr>
              <w:t xml:space="preserve">, qui sont responsables du contrôle du métabolisme de l'organisme, sont appelées T3 et T4 (thyroxine et </w:t>
            </w:r>
            <w:proofErr w:type="spellStart"/>
            <w:r w:rsidRPr="007C6369">
              <w:rPr>
                <w:rFonts w:ascii="Arial" w:hAnsi="Arial" w:cs="Arial"/>
                <w:lang w:val="fr-FR"/>
              </w:rPr>
              <w:t>triiodothyronine</w:t>
            </w:r>
            <w:proofErr w:type="spellEnd"/>
            <w:r w:rsidRPr="007C6369">
              <w:rPr>
                <w:rFonts w:ascii="Arial" w:hAnsi="Arial" w:cs="Arial"/>
                <w:lang w:val="fr-FR"/>
              </w:rPr>
              <w:t>). Ce sont des modifications de la tyrosine portant un cycle supplémentaire et des atomes d'iode. C'est pour synthétiser ces deux hormones que la glande thyroïde a besoin d'iode.</w:t>
            </w:r>
          </w:p>
          <w:p w:rsidR="00B2581D" w:rsidRPr="007C6369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  <w:r w:rsidRPr="007C6369">
              <w:rPr>
                <w:rFonts w:ascii="Arial" w:hAnsi="Arial" w:cs="Arial"/>
                <w:lang w:val="fr-FR"/>
              </w:rPr>
              <w:t xml:space="preserve">. </w:t>
            </w:r>
          </w:p>
          <w:p w:rsidR="00B2581D" w:rsidRPr="007C6369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  <w:p w:rsidR="00B2581D" w:rsidRPr="00CB3C56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  <w:p w:rsidR="00B2581D" w:rsidRPr="00CB3C56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  <w:p w:rsidR="00B2581D" w:rsidRPr="00CB3C56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  <w:p w:rsidR="00B2581D" w:rsidRPr="00217B25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  <w:p w:rsidR="00B2581D" w:rsidRPr="00217B25" w:rsidRDefault="00B2581D" w:rsidP="00F33D2A">
            <w:pPr>
              <w:pStyle w:val="NormalWeb"/>
              <w:jc w:val="both"/>
              <w:rPr>
                <w:lang w:val="fr-FR"/>
              </w:rPr>
            </w:pPr>
          </w:p>
          <w:p w:rsidR="00B2581D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  <w:p w:rsidR="00B2581D" w:rsidRPr="00217B25" w:rsidRDefault="00B2581D" w:rsidP="00F33D2A">
            <w:pPr>
              <w:pStyle w:val="NormalWeb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B2581D" w:rsidRDefault="00B2581D" w:rsidP="0048270B">
      <w:pPr>
        <w:spacing w:line="360" w:lineRule="auto"/>
        <w:rPr>
          <w:rFonts w:ascii="Times New Roman" w:hAnsi="Times New Roman" w:cs="Times New Roman"/>
          <w:lang w:val="fr-FR"/>
        </w:rPr>
      </w:pPr>
    </w:p>
    <w:p w:rsidR="00B2581D" w:rsidRPr="0048270B" w:rsidRDefault="00B2581D" w:rsidP="0048270B">
      <w:pPr>
        <w:spacing w:line="360" w:lineRule="auto"/>
        <w:rPr>
          <w:rFonts w:ascii="Times New Roman" w:hAnsi="Times New Roman" w:cs="Times New Roman"/>
          <w:lang w:val="fr-FR"/>
        </w:rPr>
      </w:pPr>
    </w:p>
    <w:sectPr w:rsidR="00B2581D" w:rsidRPr="0048270B" w:rsidSect="0022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11"/>
    <w:multiLevelType w:val="multilevel"/>
    <w:tmpl w:val="E6E2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F6B79"/>
    <w:multiLevelType w:val="hybridMultilevel"/>
    <w:tmpl w:val="9864C706"/>
    <w:lvl w:ilvl="0" w:tplc="C83E6D1A">
      <w:start w:val="1"/>
      <w:numFmt w:val="bullet"/>
      <w:lvlText w:val="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EB00D7"/>
    <w:multiLevelType w:val="hybridMultilevel"/>
    <w:tmpl w:val="3A2E60BE"/>
    <w:lvl w:ilvl="0" w:tplc="6D526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288B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740DF"/>
    <w:multiLevelType w:val="hybridMultilevel"/>
    <w:tmpl w:val="F064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5314"/>
    <w:multiLevelType w:val="hybridMultilevel"/>
    <w:tmpl w:val="4C68B5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A525D"/>
    <w:multiLevelType w:val="hybridMultilevel"/>
    <w:tmpl w:val="EAA0A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5475"/>
    <w:multiLevelType w:val="hybridMultilevel"/>
    <w:tmpl w:val="AA4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402E7"/>
    <w:multiLevelType w:val="hybridMultilevel"/>
    <w:tmpl w:val="09E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05472"/>
    <w:multiLevelType w:val="hybridMultilevel"/>
    <w:tmpl w:val="A30C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070E8"/>
    <w:multiLevelType w:val="multilevel"/>
    <w:tmpl w:val="441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62B8C"/>
    <w:multiLevelType w:val="multilevel"/>
    <w:tmpl w:val="B0E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043E0"/>
    <w:multiLevelType w:val="hybridMultilevel"/>
    <w:tmpl w:val="14BA6E12"/>
    <w:lvl w:ilvl="0" w:tplc="EEFE04D0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A016D"/>
    <w:multiLevelType w:val="hybridMultilevel"/>
    <w:tmpl w:val="DA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541D6"/>
    <w:multiLevelType w:val="multilevel"/>
    <w:tmpl w:val="BD0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63480"/>
    <w:multiLevelType w:val="multilevel"/>
    <w:tmpl w:val="7E0C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84734"/>
    <w:multiLevelType w:val="hybridMultilevel"/>
    <w:tmpl w:val="C896D6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EC652D"/>
    <w:multiLevelType w:val="hybridMultilevel"/>
    <w:tmpl w:val="98187E50"/>
    <w:lvl w:ilvl="0" w:tplc="C83E6D1A">
      <w:start w:val="1"/>
      <w:numFmt w:val="bullet"/>
      <w:lvlText w:val="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D350E8"/>
    <w:multiLevelType w:val="multilevel"/>
    <w:tmpl w:val="3C8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52C7F"/>
    <w:multiLevelType w:val="hybridMultilevel"/>
    <w:tmpl w:val="6FCC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8"/>
  </w:num>
  <w:num w:numId="13">
    <w:abstractNumId w:val="3"/>
  </w:num>
  <w:num w:numId="14">
    <w:abstractNumId w:val="2"/>
  </w:num>
  <w:num w:numId="15">
    <w:abstractNumId w:val="16"/>
  </w:num>
  <w:num w:numId="16">
    <w:abstractNumId w:val="1"/>
  </w:num>
  <w:num w:numId="17">
    <w:abstractNumId w:val="15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643"/>
    <w:rsid w:val="00131A6E"/>
    <w:rsid w:val="0014260C"/>
    <w:rsid w:val="001D6CD8"/>
    <w:rsid w:val="002252E6"/>
    <w:rsid w:val="0037270D"/>
    <w:rsid w:val="0048270B"/>
    <w:rsid w:val="00563016"/>
    <w:rsid w:val="005A1B34"/>
    <w:rsid w:val="008E2E88"/>
    <w:rsid w:val="00946B26"/>
    <w:rsid w:val="00B2581D"/>
    <w:rsid w:val="00B6708B"/>
    <w:rsid w:val="00B70AE0"/>
    <w:rsid w:val="00C2096B"/>
    <w:rsid w:val="00D60B9B"/>
    <w:rsid w:val="00DA6643"/>
    <w:rsid w:val="00EE2843"/>
    <w:rsid w:val="00F07D8E"/>
    <w:rsid w:val="00F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6"/>
  </w:style>
  <w:style w:type="paragraph" w:styleId="Heading1">
    <w:name w:val="heading 1"/>
    <w:basedOn w:val="Normal"/>
    <w:link w:val="Heading1Char"/>
    <w:uiPriority w:val="9"/>
    <w:qFormat/>
    <w:rsid w:val="00DA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DA6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4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A664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DefaultParagraphFont"/>
    <w:uiPriority w:val="99"/>
    <w:unhideWhenUsed/>
    <w:rsid w:val="00DA6643"/>
    <w:rPr>
      <w:color w:val="0000FF"/>
      <w:u w:val="single"/>
    </w:rPr>
  </w:style>
  <w:style w:type="paragraph" w:styleId="NormalWeb">
    <w:name w:val="Normal (Web)"/>
    <w:basedOn w:val="Normal"/>
    <w:unhideWhenUsed/>
    <w:rsid w:val="00DA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editsection">
    <w:name w:val="editsection"/>
    <w:basedOn w:val="DefaultParagraphFont"/>
    <w:rsid w:val="00DA6643"/>
  </w:style>
  <w:style w:type="character" w:customStyle="1" w:styleId="toctoggle">
    <w:name w:val="toctoggle"/>
    <w:basedOn w:val="DefaultParagraphFont"/>
    <w:rsid w:val="00DA6643"/>
  </w:style>
  <w:style w:type="character" w:customStyle="1" w:styleId="tocnumber">
    <w:name w:val="tocnumber"/>
    <w:basedOn w:val="DefaultParagraphFont"/>
    <w:rsid w:val="00DA6643"/>
  </w:style>
  <w:style w:type="character" w:customStyle="1" w:styleId="toctext">
    <w:name w:val="toctext"/>
    <w:basedOn w:val="DefaultParagraphFont"/>
    <w:rsid w:val="00DA6643"/>
  </w:style>
  <w:style w:type="character" w:customStyle="1" w:styleId="mw-headline">
    <w:name w:val="mw-headline"/>
    <w:basedOn w:val="DefaultParagraphFont"/>
    <w:rsid w:val="00DA6643"/>
  </w:style>
  <w:style w:type="character" w:customStyle="1" w:styleId="citecrochet1">
    <w:name w:val="cite_crochet1"/>
    <w:basedOn w:val="DefaultParagraphFont"/>
    <w:rsid w:val="00DA6643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DA66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E2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2147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Vaisseau_sanguin" TargetMode="External"/><Relationship Id="rId18" Type="http://schemas.openxmlformats.org/officeDocument/2006/relationships/hyperlink" Target="http://fr.wikipedia.org/wiki/Adjuvant" TargetMode="External"/><Relationship Id="rId26" Type="http://schemas.openxmlformats.org/officeDocument/2006/relationships/hyperlink" Target="http://fr.wikipedia.org/wiki/H%C3%A9mostase" TargetMode="External"/><Relationship Id="rId39" Type="http://schemas.openxmlformats.org/officeDocument/2006/relationships/hyperlink" Target="http://fr.wikipedia.org/wiki/Gaz_du_sang" TargetMode="External"/><Relationship Id="rId21" Type="http://schemas.openxmlformats.org/officeDocument/2006/relationships/hyperlink" Target="http://fr.wikipedia.org/wiki/Glyc%C3%A9mie" TargetMode="External"/><Relationship Id="rId34" Type="http://schemas.openxmlformats.org/officeDocument/2006/relationships/hyperlink" Target="http://fr.wikipedia.org/wiki/EDTA" TargetMode="External"/><Relationship Id="rId42" Type="http://schemas.openxmlformats.org/officeDocument/2006/relationships/hyperlink" Target="http://fr.wikipedia.org/wiki/Temps_de_prothrombine" TargetMode="External"/><Relationship Id="rId47" Type="http://schemas.openxmlformats.org/officeDocument/2006/relationships/hyperlink" Target="http://fr.wikipedia.org/wiki/S%C3%A9rologie" TargetMode="External"/><Relationship Id="rId50" Type="http://schemas.openxmlformats.org/officeDocument/2006/relationships/hyperlink" Target="http://fr.wikipedia.org/wiki/Compos%C3%A9_chimique" TargetMode="External"/><Relationship Id="rId55" Type="http://schemas.openxmlformats.org/officeDocument/2006/relationships/hyperlink" Target="http://fr.wikipedia.org/wiki/Esp%C3%A8ce_chimique" TargetMode="External"/><Relationship Id="rId63" Type="http://schemas.openxmlformats.org/officeDocument/2006/relationships/image" Target="media/image8.png"/><Relationship Id="rId7" Type="http://schemas.openxmlformats.org/officeDocument/2006/relationships/hyperlink" Target="http://fr.wikipedia.org/wiki/Technicien_de_laboratoir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Art%C3%A8re" TargetMode="External"/><Relationship Id="rId20" Type="http://schemas.openxmlformats.org/officeDocument/2006/relationships/hyperlink" Target="http://fr.wikipedia.org/wiki/Je%C3%BBne" TargetMode="External"/><Relationship Id="rId29" Type="http://schemas.openxmlformats.org/officeDocument/2006/relationships/hyperlink" Target="http://fr.wikipedia.org/wiki/Garrot" TargetMode="External"/><Relationship Id="rId41" Type="http://schemas.openxmlformats.org/officeDocument/2006/relationships/hyperlink" Target="http://fr.wikipedia.org/wiki/Coagulation_sanguine" TargetMode="External"/><Relationship Id="rId54" Type="http://schemas.openxmlformats.org/officeDocument/2006/relationships/hyperlink" Target="http://fr.wikipedia.org/wiki/Longueur_d%27onde" TargetMode="External"/><Relationship Id="rId62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Infirmier" TargetMode="External"/><Relationship Id="rId11" Type="http://schemas.openxmlformats.org/officeDocument/2006/relationships/hyperlink" Target="http://fr.wikipedia.org/wiki/Veine" TargetMode="External"/><Relationship Id="rId24" Type="http://schemas.openxmlformats.org/officeDocument/2006/relationships/hyperlink" Target="http://fr.wikipedia.org/wiki/S%C3%A9rologie" TargetMode="External"/><Relationship Id="rId32" Type="http://schemas.openxmlformats.org/officeDocument/2006/relationships/hyperlink" Target="http://fr.wikipedia.org/wiki/Aiguille_hypodermique" TargetMode="External"/><Relationship Id="rId37" Type="http://schemas.openxmlformats.org/officeDocument/2006/relationships/hyperlink" Target="http://fr.wikipedia.org/wiki/Microtube" TargetMode="External"/><Relationship Id="rId40" Type="http://schemas.openxmlformats.org/officeDocument/2006/relationships/hyperlink" Target="http://fr.wikipedia.org/w/index.php?title=Sang_art%C3%A9riel&amp;action=edit&amp;redlink=1" TargetMode="External"/><Relationship Id="rId45" Type="http://schemas.openxmlformats.org/officeDocument/2006/relationships/hyperlink" Target="http://fr.wikipedia.org/wiki/Vitesse_de_s%C3%A9dimentation" TargetMode="External"/><Relationship Id="rId53" Type="http://schemas.openxmlformats.org/officeDocument/2006/relationships/hyperlink" Target="http://fr.wikipedia.org/wiki/Spectrophotom%C3%A8tre" TargetMode="External"/><Relationship Id="rId58" Type="http://schemas.openxmlformats.org/officeDocument/2006/relationships/image" Target="media/image3.png"/><Relationship Id="rId5" Type="http://schemas.openxmlformats.org/officeDocument/2006/relationships/hyperlink" Target="http://fr.wikipedia.org/wiki/Soin" TargetMode="External"/><Relationship Id="rId15" Type="http://schemas.openxmlformats.org/officeDocument/2006/relationships/hyperlink" Target="http://fr.wikipedia.org/wiki/Capillaire_sanguin" TargetMode="External"/><Relationship Id="rId23" Type="http://schemas.openxmlformats.org/officeDocument/2006/relationships/hyperlink" Target="http://fr.wikipedia.org/wiki/Enzymologie" TargetMode="External"/><Relationship Id="rId28" Type="http://schemas.openxmlformats.org/officeDocument/2006/relationships/hyperlink" Target="http://fr.wikipedia.org/wiki/Ouate" TargetMode="External"/><Relationship Id="rId36" Type="http://schemas.openxmlformats.org/officeDocument/2006/relationships/hyperlink" Target="http://fr.wikipedia.org/wiki/Vacutainer" TargetMode="External"/><Relationship Id="rId49" Type="http://schemas.openxmlformats.org/officeDocument/2006/relationships/hyperlink" Target="http://fr.wikipedia.org/wiki/Absorbance" TargetMode="External"/><Relationship Id="rId57" Type="http://schemas.openxmlformats.org/officeDocument/2006/relationships/image" Target="media/image2.png"/><Relationship Id="rId61" Type="http://schemas.openxmlformats.org/officeDocument/2006/relationships/image" Target="media/image6.png"/><Relationship Id="rId10" Type="http://schemas.openxmlformats.org/officeDocument/2006/relationships/hyperlink" Target="http://fr.wikipedia.org/wiki/Sang" TargetMode="External"/><Relationship Id="rId19" Type="http://schemas.openxmlformats.org/officeDocument/2006/relationships/hyperlink" Target="http://fr.wikipedia.org/wiki/Pansement_compressif" TargetMode="External"/><Relationship Id="rId31" Type="http://schemas.openxmlformats.org/officeDocument/2006/relationships/hyperlink" Target="http://fr.wikipedia.org/wiki/Gant_m%C3%A9dical" TargetMode="External"/><Relationship Id="rId44" Type="http://schemas.openxmlformats.org/officeDocument/2006/relationships/hyperlink" Target="http://fr.wikipedia.org/wiki/H%C3%A9moculture" TargetMode="External"/><Relationship Id="rId52" Type="http://schemas.openxmlformats.org/officeDocument/2006/relationships/hyperlink" Target="http://fr.wikipedia.org/wiki/Loi_de_Beer-Lambert" TargetMode="External"/><Relationship Id="rId60" Type="http://schemas.openxmlformats.org/officeDocument/2006/relationships/image" Target="media/image5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%C3%89chantillon_(statistiques)" TargetMode="External"/><Relationship Id="rId14" Type="http://schemas.openxmlformats.org/officeDocument/2006/relationships/hyperlink" Target="http://fr.wikipedia.org/wiki/Veine" TargetMode="External"/><Relationship Id="rId22" Type="http://schemas.openxmlformats.org/officeDocument/2006/relationships/hyperlink" Target="http://fr.wikipedia.org/wiki/Lipidique" TargetMode="External"/><Relationship Id="rId27" Type="http://schemas.openxmlformats.org/officeDocument/2006/relationships/hyperlink" Target="http://fr.wikipedia.org/wiki/Compresse" TargetMode="External"/><Relationship Id="rId30" Type="http://schemas.openxmlformats.org/officeDocument/2006/relationships/hyperlink" Target="http://fr.wikipedia.org/wiki/Antiseptique" TargetMode="External"/><Relationship Id="rId35" Type="http://schemas.openxmlformats.org/officeDocument/2006/relationships/hyperlink" Target="http://fr.wikipedia.org/wiki/Heparine" TargetMode="External"/><Relationship Id="rId43" Type="http://schemas.openxmlformats.org/officeDocument/2006/relationships/hyperlink" Target="http://fr.wikipedia.org/wiki/Num%C3%A9ration_formule_sanguine" TargetMode="External"/><Relationship Id="rId48" Type="http://schemas.openxmlformats.org/officeDocument/2006/relationships/hyperlink" Target="http://www.bioltrop.cooperaction.org/00-entete/techbioche.htm" TargetMode="External"/><Relationship Id="rId56" Type="http://schemas.openxmlformats.org/officeDocument/2006/relationships/image" Target="media/image1.png"/><Relationship Id="rId64" Type="http://schemas.openxmlformats.org/officeDocument/2006/relationships/fontTable" Target="fontTable.xml"/><Relationship Id="rId8" Type="http://schemas.openxmlformats.org/officeDocument/2006/relationships/hyperlink" Target="http://fr.wikipedia.org/wiki/M%C3%A9decin" TargetMode="External"/><Relationship Id="rId51" Type="http://schemas.openxmlformats.org/officeDocument/2006/relationships/hyperlink" Target="http://fr.wikipedia.org/wiki/Solution_(chimie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r.wikipedia.org/wiki/Art%C3%A8re" TargetMode="External"/><Relationship Id="rId17" Type="http://schemas.openxmlformats.org/officeDocument/2006/relationships/hyperlink" Target="http://fr.wikipedia.org/wiki/Sang" TargetMode="External"/><Relationship Id="rId25" Type="http://schemas.openxmlformats.org/officeDocument/2006/relationships/hyperlink" Target="http://fr.wikipedia.org/wiki/H%C3%A9matologie" TargetMode="External"/><Relationship Id="rId33" Type="http://schemas.openxmlformats.org/officeDocument/2006/relationships/hyperlink" Target="http://fr.wikipedia.org/wiki/Citrate" TargetMode="External"/><Relationship Id="rId38" Type="http://schemas.openxmlformats.org/officeDocument/2006/relationships/hyperlink" Target="http://fr.wikipedia.org/wiki/Ionogramme" TargetMode="External"/><Relationship Id="rId46" Type="http://schemas.openxmlformats.org/officeDocument/2006/relationships/hyperlink" Target="http://fr.wikipedia.org/wiki/Marqueur_tumoral" TargetMode="External"/><Relationship Id="rId5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2985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aurelian_albut</dc:creator>
  <cp:lastModifiedBy>aurelian_albut</cp:lastModifiedBy>
  <cp:revision>4</cp:revision>
  <dcterms:created xsi:type="dcterms:W3CDTF">2010-12-06T03:52:00Z</dcterms:created>
  <dcterms:modified xsi:type="dcterms:W3CDTF">2010-12-06T03:52:00Z</dcterms:modified>
</cp:coreProperties>
</file>