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CAB" w:rsidRPr="00E87CAB" w:rsidRDefault="00E87CAB" w:rsidP="00E87CAB">
      <w:pPr>
        <w:spacing w:after="0"/>
        <w:jc w:val="center"/>
        <w:rPr>
          <w:b/>
          <w:color w:val="0070C0"/>
          <w:sz w:val="24"/>
          <w:u w:val="single"/>
        </w:rPr>
      </w:pPr>
      <w:r w:rsidRPr="00E87CAB">
        <w:rPr>
          <w:b/>
          <w:color w:val="0070C0"/>
          <w:sz w:val="24"/>
          <w:u w:val="single"/>
        </w:rPr>
        <w:t>Cours n°3 – Première semaine</w:t>
      </w:r>
    </w:p>
    <w:p w:rsidR="00E87CAB" w:rsidRDefault="00E87CAB" w:rsidP="006276FA">
      <w:pPr>
        <w:spacing w:after="0"/>
      </w:pPr>
    </w:p>
    <w:p w:rsidR="00E87CAB" w:rsidRPr="00E87CAB" w:rsidRDefault="00E87CAB" w:rsidP="00E87CAB">
      <w:pPr>
        <w:spacing w:after="0"/>
        <w:jc w:val="both"/>
        <w:rPr>
          <w:rStyle w:val="FontStyle12"/>
          <w:rFonts w:asciiTheme="minorHAnsi" w:hAnsiTheme="minorHAnsi" w:cstheme="minorHAnsi"/>
          <w:lang w:eastAsia="fr-FR"/>
        </w:rPr>
      </w:pPr>
      <w:r w:rsidRPr="00E87CAB">
        <w:rPr>
          <w:rStyle w:val="FontStyle12"/>
          <w:rFonts w:asciiTheme="minorHAnsi" w:hAnsiTheme="minorHAnsi" w:cstheme="minorHAnsi"/>
          <w:lang w:eastAsia="fr-FR"/>
        </w:rPr>
        <w:t xml:space="preserve">Le </w:t>
      </w:r>
      <w:r w:rsidR="00186C62" w:rsidRPr="00E87CAB">
        <w:rPr>
          <w:rStyle w:val="FontStyle12"/>
          <w:rFonts w:asciiTheme="minorHAnsi" w:hAnsiTheme="minorHAnsi" w:cstheme="minorHAnsi"/>
          <w:lang w:eastAsia="fr-FR"/>
        </w:rPr>
        <w:t>syncitiotrophoblaste</w:t>
      </w:r>
      <w:r w:rsidRPr="00E87CAB">
        <w:rPr>
          <w:rStyle w:val="FontStyle12"/>
          <w:rFonts w:asciiTheme="minorHAnsi" w:hAnsiTheme="minorHAnsi" w:cstheme="minorHAnsi"/>
          <w:lang w:eastAsia="fr-FR"/>
        </w:rPr>
        <w:t xml:space="preserve"> contribue à l'implantation de l'embryon dans l'endomètre</w:t>
      </w:r>
    </w:p>
    <w:p w:rsidR="00E87CAB" w:rsidRPr="00E87CAB" w:rsidRDefault="00E87CAB" w:rsidP="00E87CAB">
      <w:pPr>
        <w:spacing w:after="0"/>
        <w:jc w:val="both"/>
        <w:rPr>
          <w:rStyle w:val="FontStyle13"/>
          <w:rFonts w:asciiTheme="minorHAnsi" w:hAnsiTheme="minorHAnsi" w:cstheme="minorHAnsi"/>
          <w:spacing w:val="30"/>
          <w:sz w:val="22"/>
          <w:szCs w:val="22"/>
          <w:lang w:eastAsia="fr-FR"/>
        </w:rPr>
      </w:pPr>
      <w:r w:rsidRPr="00E87CAB">
        <w:rPr>
          <w:rStyle w:val="FontStyle13"/>
          <w:rFonts w:asciiTheme="minorHAnsi" w:hAnsiTheme="minorHAnsi" w:cstheme="minorHAnsi"/>
          <w:sz w:val="22"/>
          <w:szCs w:val="22"/>
          <w:lang w:eastAsia="fr-FR"/>
        </w:rPr>
        <w:t>Le blastocyste adhère à la paroi utérine à la fin de la première semaine. Le contact avec l'endomètre induit la</w:t>
      </w:r>
      <w:r w:rsidRPr="00E87CAB">
        <w:rPr>
          <w:rStyle w:val="FontStyle14"/>
          <w:rFonts w:asciiTheme="minorHAnsi" w:hAnsiTheme="minorHAnsi" w:cstheme="minorHAnsi"/>
          <w:sz w:val="22"/>
          <w:szCs w:val="22"/>
          <w:lang w:eastAsia="fr-FR"/>
        </w:rPr>
        <w:t xml:space="preserve"> </w:t>
      </w:r>
      <w:r w:rsidRPr="00E87CAB">
        <w:rPr>
          <w:rStyle w:val="FontStyle13"/>
          <w:rFonts w:asciiTheme="minorHAnsi" w:hAnsiTheme="minorHAnsi" w:cstheme="minorHAnsi"/>
          <w:sz w:val="22"/>
          <w:szCs w:val="22"/>
          <w:lang w:eastAsia="fr-FR"/>
        </w:rPr>
        <w:t xml:space="preserve">prolifération du trophoblaste au niveau du bouton embryonnaire. Certaines cellules en voie de prolifération perdent leur membrane et se réunissent en un syncytium (masse cytoplasmique au sein de laquelle de nombreux noyaux sont dispersés) appelé </w:t>
      </w:r>
      <w:r w:rsidR="00186C62" w:rsidRPr="00E87CAB">
        <w:rPr>
          <w:rStyle w:val="FontStyle13"/>
          <w:rFonts w:asciiTheme="minorHAnsi" w:hAnsiTheme="minorHAnsi" w:cstheme="minorHAnsi"/>
          <w:sz w:val="22"/>
          <w:szCs w:val="22"/>
          <w:lang w:eastAsia="fr-FR"/>
        </w:rPr>
        <w:t>syncitiotrophoblaste</w:t>
      </w:r>
      <w:r w:rsidRPr="00E87CAB">
        <w:rPr>
          <w:rStyle w:val="FontStyle13"/>
          <w:rFonts w:asciiTheme="minorHAnsi" w:hAnsiTheme="minorHAnsi" w:cstheme="minorHAnsi"/>
          <w:sz w:val="22"/>
          <w:szCs w:val="22"/>
          <w:lang w:eastAsia="fr-FR"/>
        </w:rPr>
        <w:t xml:space="preserve"> (Fig. </w:t>
      </w:r>
      <w:r w:rsidRPr="00E87CAB">
        <w:rPr>
          <w:rStyle w:val="FontStyle13"/>
          <w:rFonts w:asciiTheme="minorHAnsi" w:hAnsiTheme="minorHAnsi" w:cstheme="minorHAnsi"/>
          <w:spacing w:val="30"/>
          <w:sz w:val="22"/>
          <w:szCs w:val="22"/>
          <w:lang w:eastAsia="fr-FR"/>
        </w:rPr>
        <w:t>1).</w:t>
      </w:r>
    </w:p>
    <w:p w:rsidR="00E87CAB" w:rsidRPr="00E87CAB" w:rsidRDefault="00E87CAB" w:rsidP="00E87CAB">
      <w:pPr>
        <w:spacing w:after="0"/>
        <w:jc w:val="both"/>
        <w:rPr>
          <w:rStyle w:val="FontStyle13"/>
          <w:rFonts w:asciiTheme="minorHAnsi" w:hAnsiTheme="minorHAnsi" w:cstheme="minorHAnsi"/>
          <w:spacing w:val="30"/>
          <w:sz w:val="22"/>
          <w:szCs w:val="22"/>
          <w:lang w:eastAsia="fr-FR"/>
        </w:rPr>
      </w:pPr>
    </w:p>
    <w:p w:rsidR="00E87CAB" w:rsidRPr="00E87CAB" w:rsidRDefault="00E87CAB" w:rsidP="00E87CAB">
      <w:pPr>
        <w:spacing w:after="0"/>
        <w:jc w:val="both"/>
        <w:rPr>
          <w:rStyle w:val="FontStyle13"/>
          <w:rFonts w:asciiTheme="minorHAnsi" w:hAnsiTheme="minorHAnsi" w:cstheme="minorHAnsi"/>
          <w:spacing w:val="30"/>
          <w:sz w:val="22"/>
          <w:szCs w:val="22"/>
          <w:lang w:eastAsia="fr-FR"/>
        </w:rPr>
      </w:pPr>
      <w:r w:rsidRPr="00E87CAB">
        <w:rPr>
          <w:rFonts w:cstheme="minorHAnsi"/>
          <w:noProof/>
          <w:spacing w:val="30"/>
          <w:lang w:eastAsia="fr-FR"/>
        </w:rPr>
        <w:drawing>
          <wp:inline distT="0" distB="0" distL="0" distR="0">
            <wp:extent cx="3819525" cy="2695575"/>
            <wp:effectExtent l="19050" t="0" r="9525" b="0"/>
            <wp:docPr id="8" name="Image 1" descr="Anca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a_2_1"/>
                    <pic:cNvPicPr>
                      <a:picLocks noChangeAspect="1" noChangeArrowheads="1"/>
                    </pic:cNvPicPr>
                  </pic:nvPicPr>
                  <pic:blipFill>
                    <a:blip r:embed="rId5" cstate="print"/>
                    <a:srcRect/>
                    <a:stretch>
                      <a:fillRect/>
                    </a:stretch>
                  </pic:blipFill>
                  <pic:spPr bwMode="auto">
                    <a:xfrm>
                      <a:off x="0" y="0"/>
                      <a:ext cx="3819525" cy="2695575"/>
                    </a:xfrm>
                    <a:prstGeom prst="rect">
                      <a:avLst/>
                    </a:prstGeom>
                    <a:noFill/>
                    <a:ln w="9525">
                      <a:noFill/>
                      <a:miter lim="800000"/>
                      <a:headEnd/>
                      <a:tailEnd/>
                    </a:ln>
                  </pic:spPr>
                </pic:pic>
              </a:graphicData>
            </a:graphic>
          </wp:inline>
        </w:drawing>
      </w:r>
    </w:p>
    <w:p w:rsidR="00E87CAB" w:rsidRPr="00E87CAB" w:rsidRDefault="00E87CAB" w:rsidP="00E87CAB">
      <w:pPr>
        <w:spacing w:after="0"/>
        <w:rPr>
          <w:rStyle w:val="FontStyle13"/>
          <w:rFonts w:asciiTheme="minorHAnsi" w:hAnsiTheme="minorHAnsi" w:cstheme="minorHAnsi"/>
          <w:spacing w:val="30"/>
          <w:sz w:val="22"/>
          <w:szCs w:val="22"/>
          <w:lang w:eastAsia="fr-FR"/>
        </w:rPr>
      </w:pPr>
      <w:r w:rsidRPr="00E87CAB">
        <w:rPr>
          <w:rStyle w:val="FontStyle13"/>
          <w:rFonts w:asciiTheme="minorHAnsi" w:hAnsiTheme="minorHAnsi" w:cstheme="minorHAnsi"/>
          <w:spacing w:val="30"/>
          <w:sz w:val="22"/>
          <w:szCs w:val="22"/>
          <w:lang w:eastAsia="fr-FR"/>
        </w:rPr>
        <w:t>Figure 1</w:t>
      </w:r>
    </w:p>
    <w:p w:rsidR="00E87CAB" w:rsidRPr="00E87CAB" w:rsidRDefault="00E87CAB" w:rsidP="00E87CAB">
      <w:pPr>
        <w:spacing w:after="0"/>
        <w:rPr>
          <w:rStyle w:val="FontStyle13"/>
          <w:rFonts w:asciiTheme="minorHAnsi" w:hAnsiTheme="minorHAnsi" w:cstheme="minorHAnsi"/>
          <w:spacing w:val="30"/>
          <w:sz w:val="22"/>
          <w:szCs w:val="22"/>
          <w:lang w:eastAsia="fr-FR"/>
        </w:rPr>
      </w:pPr>
    </w:p>
    <w:p w:rsidR="00E87CAB" w:rsidRPr="00E87CAB" w:rsidRDefault="00E87CAB" w:rsidP="00E87CAB">
      <w:pPr>
        <w:spacing w:after="0"/>
        <w:jc w:val="both"/>
        <w:rPr>
          <w:rStyle w:val="FontStyle13"/>
          <w:rFonts w:asciiTheme="minorHAnsi" w:hAnsiTheme="minorHAnsi" w:cstheme="minorHAnsi"/>
          <w:sz w:val="22"/>
          <w:szCs w:val="22"/>
          <w:lang w:eastAsia="fr-FR"/>
        </w:rPr>
      </w:pPr>
      <w:r w:rsidRPr="00E87CAB">
        <w:rPr>
          <w:rStyle w:val="FontStyle13"/>
          <w:rFonts w:asciiTheme="minorHAnsi" w:hAnsiTheme="minorHAnsi" w:cstheme="minorHAnsi"/>
          <w:sz w:val="22"/>
          <w:szCs w:val="22"/>
          <w:lang w:eastAsia="fr-FR"/>
        </w:rPr>
        <w:t xml:space="preserve">A l'opposé, les cellules du trophoblaste, qui forment la paroi du blastocyste, conservent leur membrane et constituent le </w:t>
      </w:r>
      <w:r w:rsidRPr="00E87CAB">
        <w:rPr>
          <w:rStyle w:val="FontStyle12"/>
          <w:rFonts w:asciiTheme="minorHAnsi" w:hAnsiTheme="minorHAnsi" w:cstheme="minorHAnsi"/>
          <w:lang w:eastAsia="fr-FR"/>
        </w:rPr>
        <w:t xml:space="preserve">cytotrophoblaste. </w:t>
      </w:r>
      <w:r w:rsidRPr="00E87CAB">
        <w:rPr>
          <w:rStyle w:val="FontStyle13"/>
          <w:rFonts w:asciiTheme="minorHAnsi" w:hAnsiTheme="minorHAnsi" w:cstheme="minorHAnsi"/>
          <w:sz w:val="22"/>
          <w:szCs w:val="22"/>
          <w:lang w:eastAsia="fr-FR"/>
        </w:rPr>
        <w:t xml:space="preserve">Le </w:t>
      </w:r>
      <w:r w:rsidR="00186C62" w:rsidRPr="00E87CAB">
        <w:rPr>
          <w:rStyle w:val="FontStyle13"/>
          <w:rFonts w:asciiTheme="minorHAnsi" w:hAnsiTheme="minorHAnsi" w:cstheme="minorHAnsi"/>
          <w:sz w:val="22"/>
          <w:szCs w:val="22"/>
          <w:lang w:eastAsia="fr-FR"/>
        </w:rPr>
        <w:t>syncitiotrophoblaste</w:t>
      </w:r>
      <w:r w:rsidRPr="00E87CAB">
        <w:rPr>
          <w:rStyle w:val="FontStyle13"/>
          <w:rFonts w:asciiTheme="minorHAnsi" w:hAnsiTheme="minorHAnsi" w:cstheme="minorHAnsi"/>
          <w:sz w:val="22"/>
          <w:szCs w:val="22"/>
          <w:lang w:eastAsia="fr-FR"/>
        </w:rPr>
        <w:t xml:space="preserve"> augmente de volume, au cours de la seconde semaine, au fur et à mesure que des cellules se détachent du cytotrophoblaste en prolifération, au niveau du bouton embryonnaire, pour fusionner avec le syncytium </w:t>
      </w:r>
      <w:r w:rsidRPr="00E87CAB">
        <w:rPr>
          <w:rStyle w:val="FontStyle13"/>
          <w:rFonts w:asciiTheme="minorHAnsi" w:hAnsiTheme="minorHAnsi" w:cstheme="minorHAnsi"/>
          <w:sz w:val="22"/>
          <w:szCs w:val="22"/>
          <w:lang w:val="ro-RO" w:eastAsia="fr-FR"/>
        </w:rPr>
        <w:t>(</w:t>
      </w:r>
      <w:proofErr w:type="spellStart"/>
      <w:r w:rsidRPr="00E87CAB">
        <w:rPr>
          <w:rStyle w:val="FontStyle13"/>
          <w:rFonts w:asciiTheme="minorHAnsi" w:hAnsiTheme="minorHAnsi" w:cstheme="minorHAnsi"/>
          <w:sz w:val="22"/>
          <w:szCs w:val="22"/>
          <w:lang w:eastAsia="fr-FR"/>
        </w:rPr>
        <w:t>Figs</w:t>
      </w:r>
      <w:proofErr w:type="spellEnd"/>
      <w:r w:rsidRPr="00E87CAB">
        <w:rPr>
          <w:rStyle w:val="FontStyle13"/>
          <w:rFonts w:asciiTheme="minorHAnsi" w:hAnsiTheme="minorHAnsi" w:cstheme="minorHAnsi"/>
          <w:sz w:val="22"/>
          <w:szCs w:val="22"/>
          <w:lang w:eastAsia="fr-FR"/>
        </w:rPr>
        <w:t>. 2 et 3).</w:t>
      </w:r>
    </w:p>
    <w:p w:rsidR="00E87CAB" w:rsidRPr="00E87CAB" w:rsidRDefault="00E87CAB" w:rsidP="00E87CAB">
      <w:pPr>
        <w:spacing w:after="0"/>
        <w:jc w:val="both"/>
        <w:rPr>
          <w:rStyle w:val="FontStyle13"/>
          <w:rFonts w:asciiTheme="minorHAnsi" w:hAnsiTheme="minorHAnsi" w:cstheme="minorHAnsi"/>
          <w:sz w:val="22"/>
          <w:szCs w:val="22"/>
          <w:lang w:eastAsia="fr-FR"/>
        </w:rPr>
      </w:pPr>
      <w:r w:rsidRPr="00E87CAB">
        <w:rPr>
          <w:rFonts w:cstheme="minorHAnsi"/>
          <w:noProof/>
          <w:lang w:eastAsia="fr-FR"/>
        </w:rPr>
        <w:drawing>
          <wp:inline distT="0" distB="0" distL="0" distR="0">
            <wp:extent cx="3952875" cy="2609850"/>
            <wp:effectExtent l="19050" t="0" r="9525" b="0"/>
            <wp:docPr id="1" name="Image 2" descr="Anca_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ca_2_2"/>
                    <pic:cNvPicPr>
                      <a:picLocks noChangeAspect="1" noChangeArrowheads="1"/>
                    </pic:cNvPicPr>
                  </pic:nvPicPr>
                  <pic:blipFill>
                    <a:blip r:embed="rId6" cstate="print"/>
                    <a:srcRect/>
                    <a:stretch>
                      <a:fillRect/>
                    </a:stretch>
                  </pic:blipFill>
                  <pic:spPr bwMode="auto">
                    <a:xfrm>
                      <a:off x="0" y="0"/>
                      <a:ext cx="3952875" cy="2609850"/>
                    </a:xfrm>
                    <a:prstGeom prst="rect">
                      <a:avLst/>
                    </a:prstGeom>
                    <a:noFill/>
                    <a:ln w="9525">
                      <a:noFill/>
                      <a:miter lim="800000"/>
                      <a:headEnd/>
                      <a:tailEnd/>
                    </a:ln>
                  </pic:spPr>
                </pic:pic>
              </a:graphicData>
            </a:graphic>
          </wp:inline>
        </w:drawing>
      </w:r>
    </w:p>
    <w:p w:rsidR="00E87CAB" w:rsidRPr="00E87CAB" w:rsidRDefault="00E87CAB" w:rsidP="00E87CAB">
      <w:pPr>
        <w:spacing w:after="0"/>
        <w:jc w:val="both"/>
        <w:rPr>
          <w:rStyle w:val="FontStyle13"/>
          <w:rFonts w:asciiTheme="minorHAnsi" w:hAnsiTheme="minorHAnsi" w:cstheme="minorHAnsi"/>
          <w:sz w:val="22"/>
          <w:szCs w:val="22"/>
          <w:lang w:eastAsia="fr-FR"/>
        </w:rPr>
      </w:pPr>
      <w:r w:rsidRPr="00E87CAB">
        <w:rPr>
          <w:rStyle w:val="FontStyle13"/>
          <w:rFonts w:asciiTheme="minorHAnsi" w:hAnsiTheme="minorHAnsi" w:cstheme="minorHAnsi"/>
          <w:sz w:val="22"/>
          <w:szCs w:val="22"/>
          <w:lang w:eastAsia="fr-FR"/>
        </w:rPr>
        <w:t>Figure 2.</w:t>
      </w:r>
    </w:p>
    <w:p w:rsidR="00E87CAB" w:rsidRPr="00E87CAB" w:rsidRDefault="00E87CAB" w:rsidP="00E87CAB">
      <w:pPr>
        <w:spacing w:after="0"/>
        <w:jc w:val="both"/>
        <w:rPr>
          <w:rStyle w:val="FontStyle13"/>
          <w:rFonts w:asciiTheme="minorHAnsi" w:hAnsiTheme="minorHAnsi" w:cstheme="minorHAnsi"/>
          <w:sz w:val="22"/>
          <w:szCs w:val="22"/>
          <w:lang w:eastAsia="fr-FR"/>
        </w:rPr>
      </w:pPr>
    </w:p>
    <w:p w:rsidR="00E87CAB" w:rsidRPr="00E87CAB" w:rsidRDefault="00E87CAB" w:rsidP="00E87CAB">
      <w:pPr>
        <w:spacing w:after="0"/>
        <w:jc w:val="both"/>
        <w:rPr>
          <w:rStyle w:val="FontStyle13"/>
          <w:rFonts w:asciiTheme="minorHAnsi" w:hAnsiTheme="minorHAnsi" w:cstheme="minorHAnsi"/>
          <w:sz w:val="22"/>
          <w:szCs w:val="22"/>
          <w:lang w:eastAsia="fr-FR"/>
        </w:rPr>
      </w:pPr>
      <w:r w:rsidRPr="00E87CAB">
        <w:rPr>
          <w:rFonts w:cstheme="minorHAnsi"/>
          <w:noProof/>
          <w:lang w:eastAsia="fr-FR"/>
        </w:rPr>
        <w:lastRenderedPageBreak/>
        <w:drawing>
          <wp:inline distT="0" distB="0" distL="0" distR="0">
            <wp:extent cx="4105275" cy="2743200"/>
            <wp:effectExtent l="19050" t="0" r="9525" b="0"/>
            <wp:docPr id="4" name="Image 4" descr="Anca_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ca_2_3"/>
                    <pic:cNvPicPr>
                      <a:picLocks noChangeAspect="1" noChangeArrowheads="1"/>
                    </pic:cNvPicPr>
                  </pic:nvPicPr>
                  <pic:blipFill>
                    <a:blip r:embed="rId7" cstate="print"/>
                    <a:srcRect/>
                    <a:stretch>
                      <a:fillRect/>
                    </a:stretch>
                  </pic:blipFill>
                  <pic:spPr bwMode="auto">
                    <a:xfrm>
                      <a:off x="0" y="0"/>
                      <a:ext cx="4105275" cy="2743200"/>
                    </a:xfrm>
                    <a:prstGeom prst="rect">
                      <a:avLst/>
                    </a:prstGeom>
                    <a:noFill/>
                    <a:ln w="9525">
                      <a:noFill/>
                      <a:miter lim="800000"/>
                      <a:headEnd/>
                      <a:tailEnd/>
                    </a:ln>
                  </pic:spPr>
                </pic:pic>
              </a:graphicData>
            </a:graphic>
          </wp:inline>
        </w:drawing>
      </w:r>
    </w:p>
    <w:p w:rsidR="00E87CAB" w:rsidRPr="00E87CAB" w:rsidRDefault="00E87CAB" w:rsidP="00E87CAB">
      <w:pPr>
        <w:spacing w:after="0"/>
        <w:jc w:val="both"/>
        <w:rPr>
          <w:rStyle w:val="FontStyle13"/>
          <w:rFonts w:asciiTheme="minorHAnsi" w:hAnsiTheme="minorHAnsi" w:cstheme="minorHAnsi"/>
          <w:sz w:val="22"/>
          <w:szCs w:val="22"/>
          <w:lang w:eastAsia="fr-FR"/>
        </w:rPr>
      </w:pPr>
      <w:r w:rsidRPr="00E87CAB">
        <w:rPr>
          <w:rStyle w:val="FontStyle13"/>
          <w:rFonts w:asciiTheme="minorHAnsi" w:hAnsiTheme="minorHAnsi" w:cstheme="minorHAnsi"/>
          <w:sz w:val="22"/>
          <w:szCs w:val="22"/>
          <w:lang w:eastAsia="fr-FR"/>
        </w:rPr>
        <w:t>Figure 3.</w:t>
      </w:r>
    </w:p>
    <w:p w:rsidR="00E87CAB" w:rsidRPr="00E87CAB" w:rsidRDefault="00E87CAB" w:rsidP="00E87CAB">
      <w:pPr>
        <w:spacing w:after="0"/>
        <w:jc w:val="both"/>
        <w:rPr>
          <w:rStyle w:val="FontStyle13"/>
          <w:rFonts w:asciiTheme="minorHAnsi" w:hAnsiTheme="minorHAnsi" w:cstheme="minorHAnsi"/>
          <w:sz w:val="22"/>
          <w:szCs w:val="22"/>
          <w:lang w:eastAsia="fr-FR"/>
        </w:rPr>
      </w:pPr>
    </w:p>
    <w:p w:rsidR="00E87CAB" w:rsidRPr="00E87CAB" w:rsidRDefault="00E87CAB" w:rsidP="00E87CAB">
      <w:pPr>
        <w:spacing w:after="0"/>
        <w:jc w:val="both"/>
        <w:rPr>
          <w:rStyle w:val="FontStyle12"/>
          <w:rFonts w:asciiTheme="minorHAnsi" w:hAnsiTheme="minorHAnsi" w:cstheme="minorHAnsi"/>
          <w:lang w:eastAsia="fr-FR"/>
        </w:rPr>
      </w:pPr>
      <w:r w:rsidRPr="00E87CAB">
        <w:rPr>
          <w:rStyle w:val="FontStyle13"/>
          <w:rFonts w:asciiTheme="minorHAnsi" w:hAnsiTheme="minorHAnsi" w:cstheme="minorHAnsi"/>
          <w:sz w:val="22"/>
          <w:szCs w:val="22"/>
          <w:lang w:eastAsia="fr-FR"/>
        </w:rPr>
        <w:t xml:space="preserve">Entre les jours 6 et 9, l'embryon est totalement implanté dans l'endomètre, essentiellement par suite des activités du </w:t>
      </w:r>
      <w:proofErr w:type="spellStart"/>
      <w:r w:rsidR="00186C62">
        <w:rPr>
          <w:rStyle w:val="FontStyle13"/>
          <w:rFonts w:asciiTheme="minorHAnsi" w:hAnsiTheme="minorHAnsi" w:cstheme="minorHAnsi"/>
          <w:sz w:val="22"/>
          <w:szCs w:val="22"/>
          <w:lang w:eastAsia="fr-FR"/>
        </w:rPr>
        <w:t>syncitiotrophoblaste</w:t>
      </w:r>
      <w:r w:rsidRPr="00E87CAB">
        <w:rPr>
          <w:rStyle w:val="FontStyle13"/>
          <w:rFonts w:asciiTheme="minorHAnsi" w:hAnsiTheme="minorHAnsi" w:cstheme="minorHAnsi"/>
          <w:sz w:val="22"/>
          <w:szCs w:val="22"/>
          <w:lang w:eastAsia="fr-FR"/>
        </w:rPr>
        <w:t>très</w:t>
      </w:r>
      <w:proofErr w:type="spellEnd"/>
      <w:r w:rsidRPr="00E87CAB">
        <w:rPr>
          <w:rStyle w:val="FontStyle13"/>
          <w:rFonts w:asciiTheme="minorHAnsi" w:hAnsiTheme="minorHAnsi" w:cstheme="minorHAnsi"/>
          <w:sz w:val="22"/>
          <w:szCs w:val="22"/>
          <w:lang w:eastAsia="fr-FR"/>
        </w:rPr>
        <w:t xml:space="preserve"> invasif. Des enzymes hydrolytiques, sécrétés par celui-ci, rompent la matrice extracellulaire disposée entre les cellules endométriales. Des prolongements se propagent activement, à partir de la surface du </w:t>
      </w:r>
      <w:r w:rsidR="00186C62" w:rsidRPr="00E87CAB">
        <w:rPr>
          <w:rStyle w:val="FontStyle13"/>
          <w:rFonts w:asciiTheme="minorHAnsi" w:hAnsiTheme="minorHAnsi" w:cstheme="minorHAnsi"/>
          <w:sz w:val="22"/>
          <w:szCs w:val="22"/>
          <w:lang w:eastAsia="fr-FR"/>
        </w:rPr>
        <w:t>syncitiotrophoblaste</w:t>
      </w:r>
      <w:r w:rsidRPr="00E87CAB">
        <w:rPr>
          <w:rStyle w:val="FontStyle13"/>
          <w:rFonts w:asciiTheme="minorHAnsi" w:hAnsiTheme="minorHAnsi" w:cstheme="minorHAnsi"/>
          <w:sz w:val="22"/>
          <w:szCs w:val="22"/>
          <w:lang w:eastAsia="fr-FR"/>
        </w:rPr>
        <w:t>, entre les cellules endométriales séparées les unes des autres, et ils attirent l'embryon dans l'épaisseur de la paroi utérine (</w:t>
      </w:r>
      <w:proofErr w:type="spellStart"/>
      <w:r w:rsidRPr="00E87CAB">
        <w:rPr>
          <w:rStyle w:val="FontStyle13"/>
          <w:rFonts w:asciiTheme="minorHAnsi" w:hAnsiTheme="minorHAnsi" w:cstheme="minorHAnsi"/>
          <w:sz w:val="22"/>
          <w:szCs w:val="22"/>
          <w:lang w:eastAsia="fr-FR"/>
        </w:rPr>
        <w:t>Figs</w:t>
      </w:r>
      <w:proofErr w:type="spellEnd"/>
      <w:r w:rsidRPr="00E87CAB">
        <w:rPr>
          <w:rStyle w:val="FontStyle13"/>
          <w:rFonts w:asciiTheme="minorHAnsi" w:hAnsiTheme="minorHAnsi" w:cstheme="minorHAnsi"/>
          <w:sz w:val="22"/>
          <w:szCs w:val="22"/>
          <w:lang w:eastAsia="fr-FR"/>
        </w:rPr>
        <w:t xml:space="preserve">. 1 et 2). Avec le progrès de l'implantation, le </w:t>
      </w:r>
      <w:r w:rsidR="00186C62">
        <w:rPr>
          <w:rStyle w:val="FontStyle13"/>
          <w:rFonts w:asciiTheme="minorHAnsi" w:hAnsiTheme="minorHAnsi" w:cstheme="minorHAnsi"/>
          <w:sz w:val="22"/>
          <w:szCs w:val="22"/>
          <w:lang w:eastAsia="fr-FR"/>
        </w:rPr>
        <w:t xml:space="preserve">syncitiotrophoblaste </w:t>
      </w:r>
      <w:r w:rsidRPr="00E87CAB">
        <w:rPr>
          <w:rStyle w:val="FontStyle13"/>
          <w:rFonts w:asciiTheme="minorHAnsi" w:hAnsiTheme="minorHAnsi" w:cstheme="minorHAnsi"/>
          <w:sz w:val="22"/>
          <w:szCs w:val="22"/>
          <w:lang w:eastAsia="fr-FR"/>
        </w:rPr>
        <w:t xml:space="preserve">en expansion entoure progressivement le blastocyste. A l'exception d'une petite région située au pôle anti-embryonnaire, celui-ci est entièrement recouvert, au jour 9, par une épaisse couche de </w:t>
      </w:r>
      <w:r w:rsidR="00186C62">
        <w:rPr>
          <w:rStyle w:val="FontStyle13"/>
          <w:rFonts w:asciiTheme="minorHAnsi" w:hAnsiTheme="minorHAnsi" w:cstheme="minorHAnsi"/>
          <w:sz w:val="22"/>
          <w:szCs w:val="22"/>
          <w:lang w:eastAsia="fr-FR"/>
        </w:rPr>
        <w:t>syncitiotrophoblaste</w:t>
      </w:r>
      <w:r w:rsidRPr="00E87CAB">
        <w:rPr>
          <w:rStyle w:val="FontStyle13"/>
          <w:rFonts w:asciiTheme="minorHAnsi" w:hAnsiTheme="minorHAnsi" w:cstheme="minorHAnsi"/>
          <w:sz w:val="22"/>
          <w:szCs w:val="22"/>
          <w:lang w:eastAsia="fr-FR"/>
        </w:rPr>
        <w:t xml:space="preserve">(Fig. 3). Le petit orifice marquant le point de l'épithélium </w:t>
      </w:r>
      <w:r w:rsidR="00186C62" w:rsidRPr="00E87CAB">
        <w:rPr>
          <w:rStyle w:val="FontStyle13"/>
          <w:rFonts w:asciiTheme="minorHAnsi" w:hAnsiTheme="minorHAnsi" w:cstheme="minorHAnsi"/>
          <w:sz w:val="22"/>
          <w:szCs w:val="22"/>
          <w:lang w:eastAsia="fr-FR"/>
        </w:rPr>
        <w:t>endométrial</w:t>
      </w:r>
      <w:r w:rsidRPr="00E87CAB">
        <w:rPr>
          <w:rStyle w:val="FontStyle13"/>
          <w:rFonts w:asciiTheme="minorHAnsi" w:hAnsiTheme="minorHAnsi" w:cstheme="minorHAnsi"/>
          <w:sz w:val="22"/>
          <w:szCs w:val="22"/>
          <w:lang w:eastAsia="fr-FR"/>
        </w:rPr>
        <w:t xml:space="preserve"> où le </w:t>
      </w:r>
      <w:r w:rsidR="00186C62" w:rsidRPr="00E87CAB">
        <w:rPr>
          <w:rStyle w:val="FontStyle13"/>
          <w:rFonts w:asciiTheme="minorHAnsi" w:hAnsiTheme="minorHAnsi" w:cstheme="minorHAnsi"/>
          <w:sz w:val="22"/>
          <w:szCs w:val="22"/>
          <w:lang w:eastAsia="fr-FR"/>
        </w:rPr>
        <w:t>blastocyste</w:t>
      </w:r>
      <w:r w:rsidRPr="00E87CAB">
        <w:rPr>
          <w:rStyle w:val="FontStyle13"/>
          <w:rFonts w:asciiTheme="minorHAnsi" w:hAnsiTheme="minorHAnsi" w:cstheme="minorHAnsi"/>
          <w:sz w:val="22"/>
          <w:szCs w:val="22"/>
          <w:lang w:eastAsia="fr-FR"/>
        </w:rPr>
        <w:t xml:space="preserve"> est implanté est indiqué par un bouchon de matériel acellulaire, le </w:t>
      </w:r>
      <w:r w:rsidRPr="00E87CAB">
        <w:rPr>
          <w:rStyle w:val="FontStyle12"/>
          <w:rFonts w:asciiTheme="minorHAnsi" w:hAnsiTheme="minorHAnsi" w:cstheme="minorHAnsi"/>
          <w:lang w:eastAsia="fr-FR"/>
        </w:rPr>
        <w:t>caillot de fibrine.</w:t>
      </w:r>
    </w:p>
    <w:p w:rsidR="00E87CAB" w:rsidRPr="00E87CAB" w:rsidRDefault="00E87CAB" w:rsidP="00E87CAB">
      <w:pPr>
        <w:spacing w:after="0"/>
        <w:jc w:val="both"/>
        <w:rPr>
          <w:rStyle w:val="FontStyle12"/>
          <w:rFonts w:asciiTheme="minorHAnsi" w:hAnsiTheme="minorHAnsi" w:cstheme="minorHAnsi"/>
          <w:lang w:eastAsia="fr-FR"/>
        </w:rPr>
      </w:pPr>
    </w:p>
    <w:p w:rsidR="00E87CAB" w:rsidRPr="00E87CAB" w:rsidRDefault="00E87CAB" w:rsidP="00E87CAB">
      <w:pPr>
        <w:spacing w:after="0"/>
        <w:jc w:val="both"/>
        <w:rPr>
          <w:rStyle w:val="FontStyle12"/>
          <w:rFonts w:asciiTheme="minorHAnsi" w:hAnsiTheme="minorHAnsi" w:cstheme="minorHAnsi"/>
          <w:lang w:eastAsia="fr-FR"/>
        </w:rPr>
      </w:pPr>
      <w:r w:rsidRPr="00E87CAB">
        <w:rPr>
          <w:rStyle w:val="FontStyle12"/>
          <w:rFonts w:asciiTheme="minorHAnsi" w:hAnsiTheme="minorHAnsi" w:cstheme="minorHAnsi"/>
          <w:lang w:eastAsia="fr-FR"/>
        </w:rPr>
        <w:t>L'embryoblaste se partage en ectoblaste et entoblaste</w:t>
      </w:r>
    </w:p>
    <w:p w:rsidR="00E87CAB" w:rsidRPr="00E87CAB" w:rsidRDefault="00E87CAB" w:rsidP="00E87CAB">
      <w:pPr>
        <w:spacing w:after="0"/>
        <w:jc w:val="both"/>
        <w:rPr>
          <w:rStyle w:val="FontStyle12"/>
          <w:rFonts w:asciiTheme="minorHAnsi" w:hAnsiTheme="minorHAnsi" w:cstheme="minorHAnsi"/>
          <w:lang w:eastAsia="fr-FR"/>
        </w:rPr>
      </w:pPr>
      <w:r w:rsidRPr="00E87CAB">
        <w:rPr>
          <w:rStyle w:val="FontStyle13"/>
          <w:rFonts w:asciiTheme="minorHAnsi" w:hAnsiTheme="minorHAnsi" w:cstheme="minorHAnsi"/>
          <w:sz w:val="22"/>
          <w:szCs w:val="22"/>
          <w:lang w:eastAsia="fr-FR"/>
        </w:rPr>
        <w:t>Déjà avant que ne débute l'implantation, les cellules de l'embryoblaste commencent à se différencier en deux feuillets. Au jour 8, l'embryoblaste comprend une couche externe, bien distincte, de cellules cylindriques, formant l</w:t>
      </w:r>
      <w:r w:rsidRPr="00E87CAB">
        <w:rPr>
          <w:rStyle w:val="FontStyle12"/>
          <w:rFonts w:asciiTheme="minorHAnsi" w:hAnsiTheme="minorHAnsi" w:cstheme="minorHAnsi"/>
          <w:lang w:eastAsia="fr-FR"/>
        </w:rPr>
        <w:t xml:space="preserve">'ectoblaste, </w:t>
      </w:r>
      <w:r w:rsidRPr="00E87CAB">
        <w:rPr>
          <w:rStyle w:val="FontStyle13"/>
          <w:rFonts w:asciiTheme="minorHAnsi" w:hAnsiTheme="minorHAnsi" w:cstheme="minorHAnsi"/>
          <w:sz w:val="22"/>
          <w:szCs w:val="22"/>
          <w:lang w:eastAsia="fr-FR"/>
        </w:rPr>
        <w:t xml:space="preserve">et une couche interne, de cellules cuboïdales, appelée </w:t>
      </w:r>
      <w:r w:rsidRPr="00E87CAB">
        <w:rPr>
          <w:rStyle w:val="FontStyle12"/>
          <w:rFonts w:asciiTheme="minorHAnsi" w:hAnsiTheme="minorHAnsi" w:cstheme="minorHAnsi"/>
          <w:lang w:eastAsia="fr-FR"/>
        </w:rPr>
        <w:t xml:space="preserve">entoblaste </w:t>
      </w:r>
      <w:r w:rsidRPr="00E87CAB">
        <w:rPr>
          <w:rStyle w:val="FontStyle13"/>
          <w:rFonts w:asciiTheme="minorHAnsi" w:hAnsiTheme="minorHAnsi" w:cstheme="minorHAnsi"/>
          <w:sz w:val="22"/>
          <w:szCs w:val="22"/>
          <w:lang w:eastAsia="fr-FR"/>
        </w:rPr>
        <w:t xml:space="preserve">(Fig. 2). Il est admis que la position relative d'une cellule dans la masse interne de la morula intervient dans sa différenciation en épiblaste ou hypoblaste; il tombe sous le sens que l'épiblaste provient des cellules les plus internes de la masse interne. Une membrane basale, extracellulaire, est déposée entre les deux feuillets, dès que ceux-ci sont individualisés. L'embryoblaste à deux couches qui résulte de cette séparation est un </w:t>
      </w:r>
      <w:r w:rsidRPr="00E87CAB">
        <w:rPr>
          <w:rStyle w:val="FontStyle12"/>
          <w:rFonts w:asciiTheme="minorHAnsi" w:hAnsiTheme="minorHAnsi" w:cstheme="minorHAnsi"/>
          <w:lang w:eastAsia="fr-FR"/>
        </w:rPr>
        <w:t>disque embryonnaire didermique.</w:t>
      </w:r>
    </w:p>
    <w:p w:rsidR="00E87CAB" w:rsidRPr="00E87CAB" w:rsidRDefault="00E87CAB" w:rsidP="00E87CAB">
      <w:pPr>
        <w:spacing w:after="0"/>
        <w:jc w:val="both"/>
        <w:rPr>
          <w:rFonts w:cstheme="minorHAnsi"/>
        </w:rPr>
      </w:pPr>
    </w:p>
    <w:p w:rsidR="00E87CAB" w:rsidRPr="00E87CAB" w:rsidRDefault="00E87CAB" w:rsidP="00E87CAB">
      <w:pPr>
        <w:spacing w:after="0"/>
        <w:jc w:val="both"/>
        <w:rPr>
          <w:rStyle w:val="FontStyle12"/>
          <w:rFonts w:asciiTheme="minorHAnsi" w:hAnsiTheme="minorHAnsi" w:cstheme="minorHAnsi"/>
          <w:lang w:eastAsia="fr-FR"/>
        </w:rPr>
      </w:pPr>
      <w:r w:rsidRPr="00E87CAB">
        <w:rPr>
          <w:rStyle w:val="FontStyle12"/>
          <w:rFonts w:asciiTheme="minorHAnsi" w:hAnsiTheme="minorHAnsi" w:cstheme="minorHAnsi"/>
          <w:lang w:eastAsia="fr-FR"/>
        </w:rPr>
        <w:t>La cavité amniotique se développe dans l'épiblaste</w:t>
      </w:r>
    </w:p>
    <w:p w:rsidR="00E87CAB" w:rsidRPr="00E87CAB" w:rsidRDefault="00E87CAB" w:rsidP="00E87CAB">
      <w:pPr>
        <w:spacing w:after="0"/>
        <w:jc w:val="both"/>
        <w:rPr>
          <w:rStyle w:val="FontStyle13"/>
          <w:rFonts w:asciiTheme="minorHAnsi" w:hAnsiTheme="minorHAnsi" w:cstheme="minorHAnsi"/>
          <w:sz w:val="22"/>
          <w:szCs w:val="22"/>
          <w:lang w:eastAsia="fr-FR"/>
        </w:rPr>
      </w:pPr>
      <w:r w:rsidRPr="00E87CAB">
        <w:rPr>
          <w:rStyle w:val="FontStyle13"/>
          <w:rFonts w:asciiTheme="minorHAnsi" w:hAnsiTheme="minorHAnsi" w:cstheme="minorHAnsi"/>
          <w:sz w:val="22"/>
          <w:szCs w:val="22"/>
          <w:lang w:eastAsia="fr-FR"/>
        </w:rPr>
        <w:t xml:space="preserve">La première cavité nouvelle qui se forme au cours de la seconde semaine - la </w:t>
      </w:r>
      <w:r w:rsidRPr="00E87CAB">
        <w:rPr>
          <w:rStyle w:val="FontStyle12"/>
          <w:rFonts w:asciiTheme="minorHAnsi" w:hAnsiTheme="minorHAnsi" w:cstheme="minorHAnsi"/>
          <w:lang w:eastAsia="fr-FR"/>
        </w:rPr>
        <w:t xml:space="preserve">cavité amniotique </w:t>
      </w:r>
      <w:r w:rsidRPr="00E87CAB">
        <w:rPr>
          <w:rStyle w:val="FontStyle13"/>
          <w:rFonts w:asciiTheme="minorHAnsi" w:hAnsiTheme="minorHAnsi" w:cstheme="minorHAnsi"/>
          <w:sz w:val="22"/>
          <w:szCs w:val="22"/>
          <w:lang w:eastAsia="fr-FR"/>
        </w:rPr>
        <w:t xml:space="preserve">- apparaît au jour 8 lorsque du liquide commence à se rassembler entre les cellules de l'épiblaste (Fig. 2). Une couche de cellules épiblastiques est progressivement déplacée, vers le pôle embryonnaire, par le liquide qui s'accumule; elle se différencie ensuite en une fine membrane qui sépare la nouvelle cavité du cytotrophoblaste. Cette membrane est appelée </w:t>
      </w:r>
      <w:r w:rsidRPr="00E87CAB">
        <w:rPr>
          <w:rStyle w:val="FontStyle12"/>
          <w:rFonts w:asciiTheme="minorHAnsi" w:hAnsiTheme="minorHAnsi" w:cstheme="minorHAnsi"/>
          <w:lang w:eastAsia="fr-FR"/>
        </w:rPr>
        <w:t xml:space="preserve">membrane amniotique; </w:t>
      </w:r>
      <w:r w:rsidRPr="00E87CAB">
        <w:rPr>
          <w:rStyle w:val="FontStyle13"/>
          <w:rFonts w:asciiTheme="minorHAnsi" w:hAnsiTheme="minorHAnsi" w:cstheme="minorHAnsi"/>
          <w:sz w:val="22"/>
          <w:szCs w:val="22"/>
          <w:lang w:eastAsia="fr-FR"/>
        </w:rPr>
        <w:t xml:space="preserve">ses cellules sont les </w:t>
      </w:r>
      <w:r w:rsidRPr="00E87CAB">
        <w:rPr>
          <w:rStyle w:val="FontStyle12"/>
          <w:rFonts w:asciiTheme="minorHAnsi" w:hAnsiTheme="minorHAnsi" w:cstheme="minorHAnsi"/>
          <w:lang w:eastAsia="fr-FR"/>
        </w:rPr>
        <w:t xml:space="preserve">amnioblastes </w:t>
      </w:r>
      <w:r w:rsidRPr="00E87CAB">
        <w:rPr>
          <w:rStyle w:val="FontStyle13"/>
          <w:rFonts w:asciiTheme="minorHAnsi" w:hAnsiTheme="minorHAnsi" w:cstheme="minorHAnsi"/>
          <w:sz w:val="22"/>
          <w:szCs w:val="22"/>
          <w:lang w:eastAsia="fr-FR"/>
        </w:rPr>
        <w:t>et la nouvelle cavité, l'amnios (Fig. 3). Plus petite au début, que le blastocèle, la cavité amniotique s'accroît sans cesse; à la huitième semaine, elle entoure l'embryon complètement.</w:t>
      </w:r>
    </w:p>
    <w:p w:rsidR="00E87CAB" w:rsidRPr="00E87CAB" w:rsidRDefault="00E87CAB" w:rsidP="00E87CAB">
      <w:pPr>
        <w:spacing w:after="0"/>
        <w:jc w:val="both"/>
        <w:rPr>
          <w:rStyle w:val="FontStyle12"/>
          <w:rFonts w:asciiTheme="minorHAnsi" w:hAnsiTheme="minorHAnsi" w:cstheme="minorHAnsi"/>
          <w:lang w:eastAsia="fr-FR"/>
        </w:rPr>
      </w:pPr>
      <w:r w:rsidRPr="00E87CAB">
        <w:rPr>
          <w:rStyle w:val="FontStyle12"/>
          <w:rFonts w:asciiTheme="minorHAnsi" w:hAnsiTheme="minorHAnsi" w:cstheme="minorHAnsi"/>
          <w:lang w:eastAsia="fr-FR"/>
        </w:rPr>
        <w:lastRenderedPageBreak/>
        <w:t>La formation de la vésicule vitelline et de la cavité choriale n'est pas bien comprise</w:t>
      </w:r>
    </w:p>
    <w:p w:rsidR="00E87CAB" w:rsidRPr="00E87CAB" w:rsidRDefault="00E87CAB" w:rsidP="00E87CAB">
      <w:pPr>
        <w:spacing w:after="0"/>
        <w:jc w:val="both"/>
        <w:rPr>
          <w:rStyle w:val="FontStyle13"/>
          <w:rFonts w:asciiTheme="minorHAnsi" w:hAnsiTheme="minorHAnsi" w:cstheme="minorHAnsi"/>
          <w:sz w:val="22"/>
          <w:szCs w:val="22"/>
          <w:lang w:eastAsia="fr-FR"/>
        </w:rPr>
      </w:pPr>
      <w:r w:rsidRPr="00E87CAB">
        <w:rPr>
          <w:rStyle w:val="FontStyle13"/>
          <w:rFonts w:asciiTheme="minorHAnsi" w:hAnsiTheme="minorHAnsi" w:cstheme="minorHAnsi"/>
          <w:sz w:val="22"/>
          <w:szCs w:val="22"/>
          <w:lang w:eastAsia="fr-FR"/>
        </w:rPr>
        <w:t xml:space="preserve">Deux membranes successives migrent à partir de l’hypoblaste pour recouvrir le blastocèle et transformer celui-ci en une vésicule vitelline primitive, d'abord, en vésicule vitelline secondaire, ensuite. Un nouvel espace, la cavité choriale, sépare l'embryon avec son amnios et sa vésicule vitelline de la paroi externe du blastocyste, appelé maintenant </w:t>
      </w:r>
      <w:r w:rsidRPr="00E87CAB">
        <w:rPr>
          <w:rStyle w:val="FontStyle12"/>
          <w:rFonts w:asciiTheme="minorHAnsi" w:hAnsiTheme="minorHAnsi" w:cstheme="minorHAnsi"/>
          <w:lang w:eastAsia="fr-FR"/>
        </w:rPr>
        <w:t xml:space="preserve">chorion. </w:t>
      </w:r>
      <w:r w:rsidRPr="00E87CAB">
        <w:rPr>
          <w:rStyle w:val="FontStyle13"/>
          <w:rFonts w:asciiTheme="minorHAnsi" w:hAnsiTheme="minorHAnsi" w:cstheme="minorHAnsi"/>
          <w:sz w:val="22"/>
          <w:szCs w:val="22"/>
          <w:lang w:eastAsia="fr-FR"/>
        </w:rPr>
        <w:t xml:space="preserve">Le mécanisme de formation de la cavité choriale et de la vésicule vitelline définitive sont des sujets dont les conclusions sont controversées en embryologie humaine. </w:t>
      </w:r>
    </w:p>
    <w:p w:rsidR="00E87CAB" w:rsidRPr="00E87CAB" w:rsidRDefault="00E87CAB" w:rsidP="00E87CAB">
      <w:pPr>
        <w:spacing w:after="0"/>
        <w:jc w:val="both"/>
        <w:rPr>
          <w:rStyle w:val="FontStyle13"/>
          <w:rFonts w:asciiTheme="minorHAnsi" w:hAnsiTheme="minorHAnsi" w:cstheme="minorHAnsi"/>
          <w:sz w:val="22"/>
          <w:szCs w:val="22"/>
          <w:lang w:eastAsia="fr-FR"/>
        </w:rPr>
      </w:pPr>
    </w:p>
    <w:p w:rsidR="00E87CAB" w:rsidRPr="00E87CAB" w:rsidRDefault="00E87CAB" w:rsidP="00E87CAB">
      <w:pPr>
        <w:spacing w:after="0"/>
        <w:jc w:val="both"/>
        <w:rPr>
          <w:rStyle w:val="FontStyle12"/>
          <w:rFonts w:asciiTheme="minorHAnsi" w:hAnsiTheme="minorHAnsi" w:cstheme="minorHAnsi"/>
          <w:lang w:eastAsia="fr-FR"/>
        </w:rPr>
      </w:pPr>
      <w:r w:rsidRPr="00E87CAB">
        <w:rPr>
          <w:rStyle w:val="FontStyle12"/>
          <w:rFonts w:asciiTheme="minorHAnsi" w:hAnsiTheme="minorHAnsi" w:cstheme="minorHAnsi"/>
          <w:lang w:eastAsia="fr-FR"/>
        </w:rPr>
        <w:t>L'hypoblaste est à l'origine de l’entoblaste extra-embryonnaire qui tapisse la vésicule vitelline primitive</w:t>
      </w:r>
    </w:p>
    <w:p w:rsidR="00E87CAB" w:rsidRPr="00E87CAB" w:rsidRDefault="00E87CAB" w:rsidP="00E87CAB">
      <w:pPr>
        <w:spacing w:after="0"/>
        <w:jc w:val="both"/>
        <w:rPr>
          <w:rStyle w:val="FontStyle13"/>
          <w:rFonts w:asciiTheme="minorHAnsi" w:hAnsiTheme="minorHAnsi" w:cstheme="minorHAnsi"/>
          <w:sz w:val="22"/>
          <w:szCs w:val="22"/>
          <w:lang w:eastAsia="fr-FR"/>
        </w:rPr>
      </w:pPr>
      <w:r w:rsidRPr="00E87CAB">
        <w:rPr>
          <w:rStyle w:val="FontStyle13"/>
          <w:rFonts w:asciiTheme="minorHAnsi" w:hAnsiTheme="minorHAnsi" w:cstheme="minorHAnsi"/>
          <w:sz w:val="22"/>
          <w:szCs w:val="22"/>
          <w:lang w:eastAsia="fr-FR"/>
        </w:rPr>
        <w:t>Au jour 8, les cellules situées à la périphérie de l'hypoblaste nouvellement constitué commencent à se déplacer sur la surface interne du cytotrophoblaste tout en devenant aplaties et squameuses. Au jour 12, elles forment une fine membrane d</w:t>
      </w:r>
      <w:r w:rsidRPr="00E87CAB">
        <w:rPr>
          <w:rStyle w:val="FontStyle12"/>
          <w:rFonts w:asciiTheme="minorHAnsi" w:hAnsiTheme="minorHAnsi" w:cstheme="minorHAnsi"/>
          <w:lang w:eastAsia="fr-FR"/>
        </w:rPr>
        <w:t xml:space="preserve">'entoblaste extra-embryonnaire </w:t>
      </w:r>
      <w:r w:rsidRPr="00E87CAB">
        <w:rPr>
          <w:rStyle w:val="FontStyle13"/>
          <w:rFonts w:asciiTheme="minorHAnsi" w:hAnsiTheme="minorHAnsi" w:cstheme="minorHAnsi"/>
          <w:sz w:val="22"/>
          <w:szCs w:val="22"/>
          <w:lang w:eastAsia="fr-FR"/>
        </w:rPr>
        <w:t xml:space="preserve">qui tapisse complètement l'ancien blastocèle (Fig. 4 A). Ce revêtement, appelé </w:t>
      </w:r>
      <w:r w:rsidRPr="00E87CAB">
        <w:rPr>
          <w:rStyle w:val="FontStyle12"/>
          <w:rFonts w:asciiTheme="minorHAnsi" w:hAnsiTheme="minorHAnsi" w:cstheme="minorHAnsi"/>
          <w:lang w:eastAsia="fr-FR"/>
        </w:rPr>
        <w:t>membrane exo</w:t>
      </w:r>
      <w:r w:rsidR="00186C62">
        <w:rPr>
          <w:rStyle w:val="FontStyle12"/>
          <w:rFonts w:asciiTheme="minorHAnsi" w:hAnsiTheme="minorHAnsi" w:cstheme="minorHAnsi"/>
          <w:lang w:eastAsia="fr-FR"/>
        </w:rPr>
        <w:t>-</w:t>
      </w:r>
      <w:r w:rsidR="00186C62" w:rsidRPr="00E87CAB">
        <w:rPr>
          <w:rStyle w:val="FontStyle12"/>
          <w:rFonts w:asciiTheme="minorHAnsi" w:hAnsiTheme="minorHAnsi" w:cstheme="minorHAnsi"/>
          <w:lang w:eastAsia="fr-FR"/>
        </w:rPr>
        <w:t>cœlomique</w:t>
      </w:r>
      <w:r w:rsidRPr="00E87CAB">
        <w:rPr>
          <w:rStyle w:val="FontStyle12"/>
          <w:rFonts w:asciiTheme="minorHAnsi" w:hAnsiTheme="minorHAnsi" w:cstheme="minorHAnsi"/>
          <w:lang w:eastAsia="fr-FR"/>
        </w:rPr>
        <w:t xml:space="preserve"> </w:t>
      </w:r>
      <w:r w:rsidRPr="00E87CAB">
        <w:rPr>
          <w:rStyle w:val="FontStyle13"/>
          <w:rFonts w:asciiTheme="minorHAnsi" w:hAnsiTheme="minorHAnsi" w:cstheme="minorHAnsi"/>
          <w:sz w:val="22"/>
          <w:szCs w:val="22"/>
          <w:lang w:eastAsia="fr-FR"/>
        </w:rPr>
        <w:t xml:space="preserve">ou </w:t>
      </w:r>
      <w:r w:rsidRPr="00E87CAB">
        <w:rPr>
          <w:rStyle w:val="FontStyle12"/>
          <w:rFonts w:asciiTheme="minorHAnsi" w:hAnsiTheme="minorHAnsi" w:cstheme="minorHAnsi"/>
          <w:lang w:eastAsia="fr-FR"/>
        </w:rPr>
        <w:t>membrane de Heuser</w:t>
      </w:r>
      <w:r w:rsidRPr="00E87CAB">
        <w:rPr>
          <w:rStyle w:val="FontStyle13"/>
          <w:rFonts w:asciiTheme="minorHAnsi" w:hAnsiTheme="minorHAnsi" w:cstheme="minorHAnsi"/>
          <w:sz w:val="22"/>
          <w:szCs w:val="22"/>
          <w:lang w:eastAsia="fr-FR"/>
        </w:rPr>
        <w:t xml:space="preserve">, transforme le blastocèle initial en </w:t>
      </w:r>
      <w:r w:rsidRPr="00E87CAB">
        <w:rPr>
          <w:rStyle w:val="FontStyle12"/>
          <w:rFonts w:asciiTheme="minorHAnsi" w:hAnsiTheme="minorHAnsi" w:cstheme="minorHAnsi"/>
          <w:lang w:eastAsia="fr-FR"/>
        </w:rPr>
        <w:t xml:space="preserve">vésicule vitelline primitive </w:t>
      </w:r>
      <w:r w:rsidRPr="00E87CAB">
        <w:rPr>
          <w:rStyle w:val="FontStyle13"/>
          <w:rFonts w:asciiTheme="minorHAnsi" w:hAnsiTheme="minorHAnsi" w:cstheme="minorHAnsi"/>
          <w:sz w:val="22"/>
          <w:szCs w:val="22"/>
          <w:lang w:eastAsia="fr-FR"/>
        </w:rPr>
        <w:t xml:space="preserve">ou </w:t>
      </w:r>
      <w:r w:rsidRPr="00E87CAB">
        <w:rPr>
          <w:rStyle w:val="FontStyle12"/>
          <w:rFonts w:asciiTheme="minorHAnsi" w:hAnsiTheme="minorHAnsi" w:cstheme="minorHAnsi"/>
          <w:lang w:eastAsia="fr-FR"/>
        </w:rPr>
        <w:t>cavité exo</w:t>
      </w:r>
      <w:r w:rsidR="00186C62">
        <w:rPr>
          <w:rStyle w:val="FontStyle12"/>
          <w:rFonts w:asciiTheme="minorHAnsi" w:hAnsiTheme="minorHAnsi" w:cstheme="minorHAnsi"/>
          <w:lang w:eastAsia="fr-FR"/>
        </w:rPr>
        <w:t>-</w:t>
      </w:r>
      <w:r w:rsidR="00186C62" w:rsidRPr="00E87CAB">
        <w:rPr>
          <w:rStyle w:val="FontStyle12"/>
          <w:rFonts w:asciiTheme="minorHAnsi" w:hAnsiTheme="minorHAnsi" w:cstheme="minorHAnsi"/>
          <w:lang w:eastAsia="fr-FR"/>
        </w:rPr>
        <w:t>cœlomique</w:t>
      </w:r>
      <w:r w:rsidRPr="00E87CAB">
        <w:rPr>
          <w:rStyle w:val="FontStyle12"/>
          <w:rFonts w:asciiTheme="minorHAnsi" w:hAnsiTheme="minorHAnsi" w:cstheme="minorHAnsi"/>
          <w:lang w:eastAsia="fr-FR"/>
        </w:rPr>
        <w:t xml:space="preserve">. </w:t>
      </w:r>
      <w:r w:rsidRPr="00E87CAB">
        <w:rPr>
          <w:rStyle w:val="FontStyle13"/>
          <w:rFonts w:asciiTheme="minorHAnsi" w:hAnsiTheme="minorHAnsi" w:cstheme="minorHAnsi"/>
          <w:sz w:val="22"/>
          <w:szCs w:val="22"/>
          <w:lang w:eastAsia="fr-FR"/>
        </w:rPr>
        <w:t xml:space="preserve">Dès la constitution de celle-ci, une épaisse couche d'un matériel acellulaire, lâche et réticulé, le </w:t>
      </w:r>
      <w:r w:rsidRPr="00E87CAB">
        <w:rPr>
          <w:rStyle w:val="FontStyle12"/>
          <w:rFonts w:asciiTheme="minorHAnsi" w:hAnsiTheme="minorHAnsi" w:cstheme="minorHAnsi"/>
          <w:lang w:eastAsia="fr-FR"/>
        </w:rPr>
        <w:t xml:space="preserve">réticulum extra-embryonnaire, </w:t>
      </w:r>
      <w:r w:rsidRPr="00E87CAB">
        <w:rPr>
          <w:rStyle w:val="FontStyle13"/>
          <w:rFonts w:asciiTheme="minorHAnsi" w:hAnsiTheme="minorHAnsi" w:cstheme="minorHAnsi"/>
          <w:sz w:val="22"/>
          <w:szCs w:val="22"/>
          <w:lang w:eastAsia="fr-FR"/>
        </w:rPr>
        <w:t xml:space="preserve">est sécrété entre la membrane de Heuser et le cytotrophoblaste (Fig. </w:t>
      </w:r>
      <w:r w:rsidRPr="00E87CAB">
        <w:rPr>
          <w:rStyle w:val="FontStyle13"/>
          <w:rFonts w:asciiTheme="minorHAnsi" w:hAnsiTheme="minorHAnsi" w:cstheme="minorHAnsi"/>
          <w:spacing w:val="30"/>
          <w:sz w:val="22"/>
          <w:szCs w:val="22"/>
          <w:lang w:eastAsia="fr-FR"/>
        </w:rPr>
        <w:t>4</w:t>
      </w:r>
      <w:r w:rsidRPr="00E87CAB">
        <w:rPr>
          <w:rStyle w:val="FontStyle13"/>
          <w:rFonts w:asciiTheme="minorHAnsi" w:hAnsiTheme="minorHAnsi" w:cstheme="minorHAnsi"/>
          <w:sz w:val="22"/>
          <w:szCs w:val="22"/>
          <w:lang w:eastAsia="fr-FR"/>
        </w:rPr>
        <w:t xml:space="preserve"> A).</w:t>
      </w:r>
    </w:p>
    <w:p w:rsidR="00E87CAB" w:rsidRPr="00E87CAB" w:rsidRDefault="00E87CAB" w:rsidP="00E87CAB">
      <w:pPr>
        <w:spacing w:after="0"/>
        <w:jc w:val="both"/>
        <w:rPr>
          <w:rStyle w:val="FontStyle13"/>
          <w:rFonts w:asciiTheme="minorHAnsi" w:hAnsiTheme="minorHAnsi" w:cstheme="minorHAnsi"/>
          <w:sz w:val="22"/>
          <w:szCs w:val="22"/>
          <w:lang w:eastAsia="fr-FR"/>
        </w:rPr>
      </w:pPr>
    </w:p>
    <w:p w:rsidR="00E87CAB" w:rsidRPr="00E87CAB" w:rsidRDefault="00E87CAB" w:rsidP="00E87CAB">
      <w:pPr>
        <w:spacing w:after="0"/>
        <w:jc w:val="both"/>
        <w:rPr>
          <w:rStyle w:val="FontStyle13"/>
          <w:rFonts w:asciiTheme="minorHAnsi" w:hAnsiTheme="minorHAnsi" w:cstheme="minorHAnsi"/>
          <w:sz w:val="22"/>
          <w:szCs w:val="22"/>
          <w:lang w:eastAsia="fr-FR"/>
        </w:rPr>
      </w:pPr>
      <w:r w:rsidRPr="00E87CAB">
        <w:rPr>
          <w:rFonts w:cstheme="minorHAnsi"/>
          <w:noProof/>
          <w:lang w:eastAsia="fr-FR"/>
        </w:rPr>
        <w:lastRenderedPageBreak/>
        <w:drawing>
          <wp:inline distT="0" distB="0" distL="0" distR="0">
            <wp:extent cx="4648200" cy="5438775"/>
            <wp:effectExtent l="19050" t="0" r="0" b="0"/>
            <wp:docPr id="3" name="Image 3" descr="Anca_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ca_2_4"/>
                    <pic:cNvPicPr>
                      <a:picLocks noChangeAspect="1" noChangeArrowheads="1"/>
                    </pic:cNvPicPr>
                  </pic:nvPicPr>
                  <pic:blipFill>
                    <a:blip r:embed="rId8" cstate="print"/>
                    <a:srcRect/>
                    <a:stretch>
                      <a:fillRect/>
                    </a:stretch>
                  </pic:blipFill>
                  <pic:spPr bwMode="auto">
                    <a:xfrm>
                      <a:off x="0" y="0"/>
                      <a:ext cx="4648200" cy="5438775"/>
                    </a:xfrm>
                    <a:prstGeom prst="rect">
                      <a:avLst/>
                    </a:prstGeom>
                    <a:noFill/>
                    <a:ln w="9525">
                      <a:noFill/>
                      <a:miter lim="800000"/>
                      <a:headEnd/>
                      <a:tailEnd/>
                    </a:ln>
                  </pic:spPr>
                </pic:pic>
              </a:graphicData>
            </a:graphic>
          </wp:inline>
        </w:drawing>
      </w:r>
    </w:p>
    <w:p w:rsidR="00E87CAB" w:rsidRPr="00E87CAB" w:rsidRDefault="00E87CAB" w:rsidP="00E87CAB">
      <w:pPr>
        <w:spacing w:after="0"/>
        <w:jc w:val="both"/>
        <w:rPr>
          <w:rStyle w:val="FontStyle13"/>
          <w:rFonts w:asciiTheme="minorHAnsi" w:hAnsiTheme="minorHAnsi" w:cstheme="minorHAnsi"/>
          <w:sz w:val="22"/>
          <w:szCs w:val="22"/>
          <w:lang w:eastAsia="fr-FR"/>
        </w:rPr>
      </w:pPr>
      <w:r w:rsidRPr="00E87CAB">
        <w:rPr>
          <w:rStyle w:val="FontStyle13"/>
          <w:rFonts w:asciiTheme="minorHAnsi" w:hAnsiTheme="minorHAnsi" w:cstheme="minorHAnsi"/>
          <w:sz w:val="22"/>
          <w:szCs w:val="22"/>
          <w:lang w:eastAsia="fr-FR"/>
        </w:rPr>
        <w:t xml:space="preserve">Figure 4. </w:t>
      </w:r>
    </w:p>
    <w:p w:rsidR="00E87CAB" w:rsidRPr="00E87CAB" w:rsidRDefault="00E87CAB" w:rsidP="00E87CAB">
      <w:pPr>
        <w:spacing w:after="0"/>
        <w:jc w:val="both"/>
        <w:rPr>
          <w:rStyle w:val="FontStyle13"/>
          <w:rFonts w:asciiTheme="minorHAnsi" w:hAnsiTheme="minorHAnsi" w:cstheme="minorHAnsi"/>
          <w:sz w:val="22"/>
          <w:szCs w:val="22"/>
          <w:lang w:eastAsia="fr-FR"/>
        </w:rPr>
      </w:pPr>
    </w:p>
    <w:p w:rsidR="00E87CAB" w:rsidRPr="00E87CAB" w:rsidRDefault="00E87CAB" w:rsidP="00E87CAB">
      <w:pPr>
        <w:spacing w:after="0"/>
        <w:jc w:val="both"/>
        <w:rPr>
          <w:rStyle w:val="FontStyle12"/>
          <w:rFonts w:asciiTheme="minorHAnsi" w:hAnsiTheme="minorHAnsi" w:cstheme="minorHAnsi"/>
          <w:lang w:eastAsia="fr-FR"/>
        </w:rPr>
      </w:pPr>
      <w:r w:rsidRPr="00E87CAB">
        <w:rPr>
          <w:rStyle w:val="FontStyle12"/>
          <w:rFonts w:asciiTheme="minorHAnsi" w:hAnsiTheme="minorHAnsi" w:cstheme="minorHAnsi"/>
          <w:lang w:eastAsia="fr-FR"/>
        </w:rPr>
        <w:t>La cavité choriale est produite en conjonction avec le développement du mésoblaste extra-embryonnaire</w:t>
      </w:r>
    </w:p>
    <w:p w:rsidR="00E87CAB" w:rsidRPr="00E87CAB" w:rsidRDefault="00E87CAB" w:rsidP="00E87CAB">
      <w:pPr>
        <w:spacing w:after="0"/>
        <w:jc w:val="both"/>
        <w:rPr>
          <w:rStyle w:val="FontStyle13"/>
          <w:rFonts w:asciiTheme="minorHAnsi" w:hAnsiTheme="minorHAnsi" w:cstheme="minorHAnsi"/>
          <w:sz w:val="22"/>
          <w:szCs w:val="22"/>
          <w:lang w:eastAsia="fr-FR"/>
        </w:rPr>
      </w:pPr>
      <w:r w:rsidRPr="00E87CAB">
        <w:rPr>
          <w:rStyle w:val="FontStyle13"/>
          <w:rFonts w:asciiTheme="minorHAnsi" w:hAnsiTheme="minorHAnsi" w:cstheme="minorHAnsi"/>
          <w:sz w:val="22"/>
          <w:szCs w:val="22"/>
          <w:lang w:eastAsia="fr-FR"/>
        </w:rPr>
        <w:t xml:space="preserve">Bien que le réticulum extra-embryonnaire puisse contenir quelques cellules d'origine hypoblastique, il n'y a pas de doute que celui-ci s'enrichit, au jour 12 ou 13, d'une population distincte de cellules du </w:t>
      </w:r>
      <w:r w:rsidRPr="00E87CAB">
        <w:rPr>
          <w:rStyle w:val="FontStyle12"/>
          <w:rFonts w:asciiTheme="minorHAnsi" w:hAnsiTheme="minorHAnsi" w:cstheme="minorHAnsi"/>
          <w:lang w:eastAsia="fr-FR"/>
        </w:rPr>
        <w:t xml:space="preserve">mésoblaste extra-embryonnaire. </w:t>
      </w:r>
      <w:r w:rsidRPr="00E87CAB">
        <w:rPr>
          <w:rStyle w:val="FontStyle13"/>
          <w:rFonts w:asciiTheme="minorHAnsi" w:hAnsiTheme="minorHAnsi" w:cstheme="minorHAnsi"/>
          <w:sz w:val="22"/>
          <w:szCs w:val="22"/>
          <w:lang w:eastAsia="fr-FR"/>
        </w:rPr>
        <w:t xml:space="preserve">Une discussion existe à propos de l'origine de ce tissu tout comme en ce qui concerne le mécanisme par lequel il se distribue autour de la nouvelle </w:t>
      </w:r>
      <w:r w:rsidRPr="00E87CAB">
        <w:rPr>
          <w:rStyle w:val="FontStyle12"/>
          <w:rFonts w:asciiTheme="minorHAnsi" w:hAnsiTheme="minorHAnsi" w:cstheme="minorHAnsi"/>
          <w:lang w:eastAsia="fr-FR"/>
        </w:rPr>
        <w:t>cavité choriale (</w:t>
      </w:r>
      <w:r w:rsidR="00186C62" w:rsidRPr="00E87CAB">
        <w:rPr>
          <w:rStyle w:val="FontStyle12"/>
          <w:rFonts w:asciiTheme="minorHAnsi" w:hAnsiTheme="minorHAnsi" w:cstheme="minorHAnsi"/>
          <w:lang w:eastAsia="fr-FR"/>
        </w:rPr>
        <w:t>cœlome</w:t>
      </w:r>
      <w:r w:rsidRPr="00E87CAB">
        <w:rPr>
          <w:rStyle w:val="FontStyle12"/>
          <w:rFonts w:asciiTheme="minorHAnsi" w:hAnsiTheme="minorHAnsi" w:cstheme="minorHAnsi"/>
          <w:lang w:eastAsia="fr-FR"/>
        </w:rPr>
        <w:t xml:space="preserve"> extra-embryonnaire) </w:t>
      </w:r>
      <w:r w:rsidRPr="00E87CAB">
        <w:rPr>
          <w:rStyle w:val="FontStyle13"/>
          <w:rFonts w:asciiTheme="minorHAnsi" w:hAnsiTheme="minorHAnsi" w:cstheme="minorHAnsi"/>
          <w:sz w:val="22"/>
          <w:szCs w:val="22"/>
          <w:lang w:eastAsia="fr-FR"/>
        </w:rPr>
        <w:t>qui se forme entre la vésicule vitelline et le cytotrophoblaste. D'après une théorie, les cellules du mésoblaste extra-embryonnaire proviennent de l'épiblaste de l'extrémité caudale du disque embryonnaire didermique et elles migrent pour se disposer en deux feuillets qui tapissent, l'un, la face externe de la membrane de Heuser, l'autre, la face interne du cytotrophoblaste (Fig. 4 B). Le réticulum extra</w:t>
      </w:r>
      <w:r w:rsidR="00186C62">
        <w:rPr>
          <w:rStyle w:val="FontStyle13"/>
          <w:rFonts w:asciiTheme="minorHAnsi" w:hAnsiTheme="minorHAnsi" w:cstheme="minorHAnsi"/>
          <w:sz w:val="22"/>
          <w:szCs w:val="22"/>
          <w:lang w:eastAsia="fr-FR"/>
        </w:rPr>
        <w:t>-</w:t>
      </w:r>
      <w:r w:rsidRPr="00E87CAB">
        <w:rPr>
          <w:rStyle w:val="FontStyle13"/>
          <w:rFonts w:asciiTheme="minorHAnsi" w:hAnsiTheme="minorHAnsi" w:cstheme="minorHAnsi"/>
          <w:sz w:val="22"/>
          <w:szCs w:val="22"/>
          <w:lang w:eastAsia="fr-FR"/>
        </w:rPr>
        <w:t>embryonnaire, emprisonné entre ces deux feuillets de mésoblaste extra-embryonnaire, se désagrège alors pour faire place à du liquide (</w:t>
      </w:r>
      <w:proofErr w:type="spellStart"/>
      <w:r w:rsidRPr="00E87CAB">
        <w:rPr>
          <w:rStyle w:val="FontStyle13"/>
          <w:rFonts w:asciiTheme="minorHAnsi" w:hAnsiTheme="minorHAnsi" w:cstheme="minorHAnsi"/>
          <w:sz w:val="22"/>
          <w:szCs w:val="22"/>
          <w:lang w:eastAsia="fr-FR"/>
        </w:rPr>
        <w:t>Figs</w:t>
      </w:r>
      <w:proofErr w:type="spellEnd"/>
      <w:r w:rsidRPr="00E87CAB">
        <w:rPr>
          <w:rStyle w:val="FontStyle13"/>
          <w:rFonts w:asciiTheme="minorHAnsi" w:hAnsiTheme="minorHAnsi" w:cstheme="minorHAnsi"/>
          <w:sz w:val="22"/>
          <w:szCs w:val="22"/>
          <w:lang w:eastAsia="fr-FR"/>
        </w:rPr>
        <w:t>. 4 C et 5 A).</w:t>
      </w:r>
    </w:p>
    <w:p w:rsidR="00E87CAB" w:rsidRPr="00E87CAB" w:rsidRDefault="00E87CAB" w:rsidP="00E87CAB">
      <w:pPr>
        <w:spacing w:after="0"/>
        <w:jc w:val="both"/>
        <w:rPr>
          <w:rStyle w:val="FontStyle13"/>
          <w:rFonts w:asciiTheme="minorHAnsi" w:hAnsiTheme="minorHAnsi" w:cstheme="minorHAnsi"/>
          <w:sz w:val="22"/>
          <w:szCs w:val="22"/>
          <w:lang w:eastAsia="fr-FR"/>
        </w:rPr>
      </w:pPr>
    </w:p>
    <w:p w:rsidR="00E87CAB" w:rsidRPr="00E87CAB" w:rsidRDefault="00E87CAB" w:rsidP="00E87CAB">
      <w:pPr>
        <w:spacing w:after="0"/>
        <w:jc w:val="both"/>
        <w:rPr>
          <w:rStyle w:val="FontStyle13"/>
          <w:rFonts w:asciiTheme="minorHAnsi" w:hAnsiTheme="minorHAnsi" w:cstheme="minorHAnsi"/>
          <w:sz w:val="22"/>
          <w:szCs w:val="22"/>
          <w:lang w:eastAsia="fr-FR"/>
        </w:rPr>
      </w:pPr>
      <w:r w:rsidRPr="00E87CAB">
        <w:rPr>
          <w:rFonts w:cstheme="minorHAnsi"/>
          <w:noProof/>
          <w:lang w:eastAsia="fr-FR"/>
        </w:rPr>
        <w:lastRenderedPageBreak/>
        <w:drawing>
          <wp:inline distT="0" distB="0" distL="0" distR="0">
            <wp:extent cx="5067300" cy="5362575"/>
            <wp:effectExtent l="19050" t="0" r="0" b="0"/>
            <wp:docPr id="5" name="Image 5" descr="Anca_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ca_2_5"/>
                    <pic:cNvPicPr>
                      <a:picLocks noChangeAspect="1" noChangeArrowheads="1"/>
                    </pic:cNvPicPr>
                  </pic:nvPicPr>
                  <pic:blipFill>
                    <a:blip r:embed="rId9" cstate="print"/>
                    <a:srcRect/>
                    <a:stretch>
                      <a:fillRect/>
                    </a:stretch>
                  </pic:blipFill>
                  <pic:spPr bwMode="auto">
                    <a:xfrm>
                      <a:off x="0" y="0"/>
                      <a:ext cx="5067300" cy="5362575"/>
                    </a:xfrm>
                    <a:prstGeom prst="rect">
                      <a:avLst/>
                    </a:prstGeom>
                    <a:noFill/>
                    <a:ln w="9525">
                      <a:noFill/>
                      <a:miter lim="800000"/>
                      <a:headEnd/>
                      <a:tailEnd/>
                    </a:ln>
                  </pic:spPr>
                </pic:pic>
              </a:graphicData>
            </a:graphic>
          </wp:inline>
        </w:drawing>
      </w:r>
    </w:p>
    <w:p w:rsidR="00E87CAB" w:rsidRPr="00E87CAB" w:rsidRDefault="00E87CAB" w:rsidP="00E87CAB">
      <w:pPr>
        <w:spacing w:after="0"/>
        <w:jc w:val="both"/>
        <w:rPr>
          <w:rStyle w:val="FontStyle13"/>
          <w:rFonts w:asciiTheme="minorHAnsi" w:hAnsiTheme="minorHAnsi" w:cstheme="minorHAnsi"/>
          <w:sz w:val="22"/>
          <w:szCs w:val="22"/>
          <w:lang w:eastAsia="fr-FR"/>
        </w:rPr>
      </w:pPr>
      <w:r w:rsidRPr="00E87CAB">
        <w:rPr>
          <w:rStyle w:val="FontStyle13"/>
          <w:rFonts w:asciiTheme="minorHAnsi" w:hAnsiTheme="minorHAnsi" w:cstheme="minorHAnsi"/>
          <w:sz w:val="22"/>
          <w:szCs w:val="22"/>
          <w:lang w:eastAsia="fr-FR"/>
        </w:rPr>
        <w:t>Figure 5</w:t>
      </w:r>
    </w:p>
    <w:p w:rsidR="00E87CAB" w:rsidRPr="00E87CAB" w:rsidRDefault="00E87CAB" w:rsidP="00E87CAB">
      <w:pPr>
        <w:spacing w:after="0"/>
        <w:jc w:val="both"/>
        <w:rPr>
          <w:rStyle w:val="FontStyle13"/>
          <w:rFonts w:asciiTheme="minorHAnsi" w:hAnsiTheme="minorHAnsi" w:cstheme="minorHAnsi"/>
          <w:sz w:val="22"/>
          <w:szCs w:val="22"/>
          <w:lang w:eastAsia="fr-FR"/>
        </w:rPr>
      </w:pPr>
    </w:p>
    <w:p w:rsidR="00E87CAB" w:rsidRPr="00E87CAB" w:rsidRDefault="00E87CAB" w:rsidP="00E87CAB">
      <w:pPr>
        <w:spacing w:after="0"/>
        <w:jc w:val="both"/>
        <w:rPr>
          <w:rStyle w:val="FontStyle13"/>
          <w:rFonts w:asciiTheme="minorHAnsi" w:hAnsiTheme="minorHAnsi" w:cstheme="minorHAnsi"/>
          <w:sz w:val="22"/>
          <w:szCs w:val="22"/>
          <w:lang w:eastAsia="fr-FR"/>
        </w:rPr>
      </w:pPr>
      <w:r w:rsidRPr="00E87CAB">
        <w:rPr>
          <w:rStyle w:val="FontStyle13"/>
          <w:rFonts w:asciiTheme="minorHAnsi" w:hAnsiTheme="minorHAnsi" w:cstheme="minorHAnsi"/>
          <w:sz w:val="22"/>
          <w:szCs w:val="22"/>
          <w:lang w:eastAsia="fr-FR"/>
        </w:rPr>
        <w:t xml:space="preserve">Au fur et à mesure que grandit la cavité choriale, au cours de la seconde semaine, le développement et la migration du mésoblaste extra-embryonnaire ont pour effet de séparer progressivement l'amnios </w:t>
      </w:r>
      <w:r w:rsidRPr="00E87CAB">
        <w:rPr>
          <w:rStyle w:val="FontStyle13"/>
          <w:rFonts w:asciiTheme="minorHAnsi" w:hAnsiTheme="minorHAnsi" w:cstheme="minorHAnsi"/>
          <w:spacing w:val="30"/>
          <w:sz w:val="22"/>
          <w:szCs w:val="22"/>
          <w:lang w:eastAsia="fr-FR"/>
        </w:rPr>
        <w:t xml:space="preserve">du </w:t>
      </w:r>
      <w:r w:rsidRPr="00E87CAB">
        <w:rPr>
          <w:rStyle w:val="FontStyle13"/>
          <w:rFonts w:asciiTheme="minorHAnsi" w:hAnsiTheme="minorHAnsi" w:cstheme="minorHAnsi"/>
          <w:sz w:val="22"/>
          <w:szCs w:val="22"/>
          <w:lang w:eastAsia="fr-FR"/>
        </w:rPr>
        <w:t xml:space="preserve">cytotrophoblaste. Au jour 13, le disque embryonnaire, avec son amnios, dorsal, et sa vésicule vitelline, ventrale, apparaît suspendu dans la cavité choriale, uniquement relié par un épais cordon de mésoblaste, le </w:t>
      </w:r>
      <w:r w:rsidRPr="00E87CAB">
        <w:rPr>
          <w:rStyle w:val="FontStyle12"/>
          <w:rFonts w:asciiTheme="minorHAnsi" w:hAnsiTheme="minorHAnsi" w:cstheme="minorHAnsi"/>
          <w:lang w:eastAsia="fr-FR"/>
        </w:rPr>
        <w:t xml:space="preserve">pédicule embryonnaire </w:t>
      </w:r>
      <w:r w:rsidRPr="00E87CAB">
        <w:rPr>
          <w:rStyle w:val="FontStyle13"/>
          <w:rFonts w:asciiTheme="minorHAnsi" w:hAnsiTheme="minorHAnsi" w:cstheme="minorHAnsi"/>
          <w:sz w:val="22"/>
          <w:szCs w:val="22"/>
          <w:lang w:eastAsia="fr-FR"/>
        </w:rPr>
        <w:t>(Fig. 6).</w:t>
      </w:r>
    </w:p>
    <w:p w:rsidR="00E87CAB" w:rsidRPr="00E87CAB" w:rsidRDefault="00E87CAB" w:rsidP="00E87CAB">
      <w:pPr>
        <w:spacing w:after="0"/>
        <w:jc w:val="both"/>
        <w:rPr>
          <w:rStyle w:val="FontStyle13"/>
          <w:rFonts w:asciiTheme="minorHAnsi" w:hAnsiTheme="minorHAnsi" w:cstheme="minorHAnsi"/>
          <w:sz w:val="22"/>
          <w:szCs w:val="22"/>
          <w:lang w:eastAsia="fr-FR"/>
        </w:rPr>
      </w:pPr>
      <w:r w:rsidRPr="00E87CAB">
        <w:rPr>
          <w:rFonts w:cstheme="minorHAnsi"/>
          <w:noProof/>
          <w:lang w:eastAsia="fr-FR"/>
        </w:rPr>
        <w:lastRenderedPageBreak/>
        <w:drawing>
          <wp:inline distT="0" distB="0" distL="0" distR="0">
            <wp:extent cx="4067175" cy="3028950"/>
            <wp:effectExtent l="19050" t="0" r="9525" b="0"/>
            <wp:docPr id="6" name="Image 6" descr="Anca_2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ca_2_6"/>
                    <pic:cNvPicPr>
                      <a:picLocks noChangeAspect="1" noChangeArrowheads="1"/>
                    </pic:cNvPicPr>
                  </pic:nvPicPr>
                  <pic:blipFill>
                    <a:blip r:embed="rId10" cstate="print"/>
                    <a:srcRect/>
                    <a:stretch>
                      <a:fillRect/>
                    </a:stretch>
                  </pic:blipFill>
                  <pic:spPr bwMode="auto">
                    <a:xfrm>
                      <a:off x="0" y="0"/>
                      <a:ext cx="4067175" cy="3028950"/>
                    </a:xfrm>
                    <a:prstGeom prst="rect">
                      <a:avLst/>
                    </a:prstGeom>
                    <a:noFill/>
                    <a:ln w="9525">
                      <a:noFill/>
                      <a:miter lim="800000"/>
                      <a:headEnd/>
                      <a:tailEnd/>
                    </a:ln>
                  </pic:spPr>
                </pic:pic>
              </a:graphicData>
            </a:graphic>
          </wp:inline>
        </w:drawing>
      </w:r>
    </w:p>
    <w:p w:rsidR="00E87CAB" w:rsidRPr="00E87CAB" w:rsidRDefault="00E87CAB" w:rsidP="00E87CAB">
      <w:pPr>
        <w:spacing w:after="0"/>
        <w:jc w:val="both"/>
        <w:rPr>
          <w:rStyle w:val="FontStyle13"/>
          <w:rFonts w:asciiTheme="minorHAnsi" w:hAnsiTheme="minorHAnsi" w:cstheme="minorHAnsi"/>
          <w:sz w:val="22"/>
          <w:szCs w:val="22"/>
          <w:lang w:eastAsia="fr-FR"/>
        </w:rPr>
      </w:pPr>
      <w:r w:rsidRPr="00E87CAB">
        <w:rPr>
          <w:rStyle w:val="FontStyle13"/>
          <w:rFonts w:asciiTheme="minorHAnsi" w:hAnsiTheme="minorHAnsi" w:cstheme="minorHAnsi"/>
          <w:sz w:val="22"/>
          <w:szCs w:val="22"/>
          <w:lang w:eastAsia="fr-FR"/>
        </w:rPr>
        <w:t xml:space="preserve">Figure 6. </w:t>
      </w:r>
    </w:p>
    <w:p w:rsidR="00E87CAB" w:rsidRPr="00E87CAB" w:rsidRDefault="00E87CAB" w:rsidP="00E87CAB">
      <w:pPr>
        <w:spacing w:after="0"/>
        <w:jc w:val="both"/>
        <w:rPr>
          <w:rStyle w:val="FontStyle13"/>
          <w:rFonts w:asciiTheme="minorHAnsi" w:hAnsiTheme="minorHAnsi" w:cstheme="minorHAnsi"/>
          <w:sz w:val="22"/>
          <w:szCs w:val="22"/>
          <w:lang w:eastAsia="fr-FR"/>
        </w:rPr>
      </w:pPr>
    </w:p>
    <w:p w:rsidR="00E87CAB" w:rsidRPr="00E87CAB" w:rsidRDefault="00E87CAB" w:rsidP="00E87CAB">
      <w:pPr>
        <w:spacing w:after="0"/>
        <w:jc w:val="both"/>
        <w:rPr>
          <w:rStyle w:val="FontStyle12"/>
          <w:rFonts w:asciiTheme="minorHAnsi" w:hAnsiTheme="minorHAnsi" w:cstheme="minorHAnsi"/>
          <w:lang w:eastAsia="fr-FR"/>
        </w:rPr>
      </w:pPr>
      <w:r w:rsidRPr="00E87CAB">
        <w:rPr>
          <w:rStyle w:val="FontStyle12"/>
          <w:rFonts w:asciiTheme="minorHAnsi" w:hAnsiTheme="minorHAnsi" w:cstheme="minorHAnsi"/>
          <w:lang w:eastAsia="fr-FR"/>
        </w:rPr>
        <w:t xml:space="preserve">La vésicule vitelline secondaire se forme par une nouvelle vague de cellules qui proviennent de </w:t>
      </w:r>
      <w:r w:rsidRPr="00E87CAB">
        <w:rPr>
          <w:rStyle w:val="FontStyle12"/>
          <w:rFonts w:asciiTheme="minorHAnsi" w:hAnsiTheme="minorHAnsi" w:cstheme="minorHAnsi"/>
          <w:lang w:val="es-ES_tradnl" w:eastAsia="fr-FR"/>
        </w:rPr>
        <w:t>l</w:t>
      </w:r>
      <w:r w:rsidRPr="00E87CAB">
        <w:rPr>
          <w:rStyle w:val="FontStyle12"/>
          <w:rFonts w:asciiTheme="minorHAnsi" w:hAnsiTheme="minorHAnsi" w:cstheme="minorHAnsi"/>
          <w:lang w:eastAsia="fr-FR"/>
        </w:rPr>
        <w:t>'hypoblaste et qui déplacent la membrane de Heuser</w:t>
      </w:r>
    </w:p>
    <w:p w:rsidR="00E87CAB" w:rsidRPr="00E87CAB" w:rsidRDefault="00E87CAB" w:rsidP="00E87CAB">
      <w:pPr>
        <w:spacing w:after="0"/>
        <w:jc w:val="both"/>
        <w:rPr>
          <w:rStyle w:val="FontStyle12"/>
          <w:rFonts w:asciiTheme="minorHAnsi" w:hAnsiTheme="minorHAnsi" w:cstheme="minorHAnsi"/>
          <w:lang w:eastAsia="fr-FR"/>
        </w:rPr>
      </w:pPr>
      <w:r w:rsidRPr="00E87CAB">
        <w:rPr>
          <w:rStyle w:val="FontStyle13"/>
          <w:rFonts w:asciiTheme="minorHAnsi" w:hAnsiTheme="minorHAnsi" w:cstheme="minorHAnsi"/>
          <w:sz w:val="22"/>
          <w:szCs w:val="22"/>
          <w:lang w:eastAsia="fr-FR"/>
        </w:rPr>
        <w:t xml:space="preserve">Au jour 12, les cellules de l'hypoblaste recommencent à proliférer et à migrer (Fig. 5 A). Lorsque cette nouvelle vague de cellules cuboïdales se répand pour tapisser la face interne du mésoblaste extra-embryonnaire, l'ancienne vésicule vitelline primitive est refoulée vers le pôle anti-embryonnaire. Le mécanisme responsable de ce déplacement et de la désagrégation qui s'en suit n'est pas clair; il est admis que cette vésicule éclate avant de se fragmenter en une collection de </w:t>
      </w:r>
      <w:r w:rsidRPr="00E87CAB">
        <w:rPr>
          <w:rStyle w:val="FontStyle12"/>
          <w:rFonts w:asciiTheme="minorHAnsi" w:hAnsiTheme="minorHAnsi" w:cstheme="minorHAnsi"/>
          <w:lang w:eastAsia="fr-FR"/>
        </w:rPr>
        <w:t>vésicules exo</w:t>
      </w:r>
      <w:r w:rsidR="00186C62">
        <w:rPr>
          <w:rStyle w:val="FontStyle12"/>
          <w:rFonts w:asciiTheme="minorHAnsi" w:hAnsiTheme="minorHAnsi" w:cstheme="minorHAnsi"/>
          <w:lang w:eastAsia="fr-FR"/>
        </w:rPr>
        <w:t>-</w:t>
      </w:r>
      <w:r w:rsidR="00186C62" w:rsidRPr="00E87CAB">
        <w:rPr>
          <w:rStyle w:val="FontStyle12"/>
          <w:rFonts w:asciiTheme="minorHAnsi" w:hAnsiTheme="minorHAnsi" w:cstheme="minorHAnsi"/>
          <w:lang w:eastAsia="fr-FR"/>
        </w:rPr>
        <w:t>cœlomiques</w:t>
      </w:r>
      <w:r w:rsidRPr="00E87CAB">
        <w:rPr>
          <w:rStyle w:val="FontStyle12"/>
          <w:rFonts w:asciiTheme="minorHAnsi" w:hAnsiTheme="minorHAnsi" w:cstheme="minorHAnsi"/>
          <w:lang w:eastAsia="fr-FR"/>
        </w:rPr>
        <w:t xml:space="preserve"> </w:t>
      </w:r>
      <w:r w:rsidRPr="00E87CAB">
        <w:rPr>
          <w:rStyle w:val="FontStyle13"/>
          <w:rFonts w:asciiTheme="minorHAnsi" w:hAnsiTheme="minorHAnsi" w:cstheme="minorHAnsi"/>
          <w:sz w:val="22"/>
          <w:szCs w:val="22"/>
          <w:lang w:eastAsia="fr-FR"/>
        </w:rPr>
        <w:t>dépourvues de connexions avec l'embryon (Fig. 5 B). Au jour 13, en tout cas. ces vésicules peuvent être observées au pôle anti</w:t>
      </w:r>
      <w:r w:rsidR="00186C62">
        <w:rPr>
          <w:rStyle w:val="FontStyle13"/>
          <w:rFonts w:asciiTheme="minorHAnsi" w:hAnsiTheme="minorHAnsi" w:cstheme="minorHAnsi"/>
          <w:sz w:val="22"/>
          <w:szCs w:val="22"/>
          <w:lang w:eastAsia="fr-FR"/>
        </w:rPr>
        <w:t>-</w:t>
      </w:r>
      <w:r w:rsidRPr="00E87CAB">
        <w:rPr>
          <w:rStyle w:val="FontStyle13"/>
          <w:rFonts w:asciiTheme="minorHAnsi" w:hAnsiTheme="minorHAnsi" w:cstheme="minorHAnsi"/>
          <w:sz w:val="22"/>
          <w:szCs w:val="22"/>
          <w:lang w:eastAsia="fr-FR"/>
        </w:rPr>
        <w:t>embryonnaire où elles finissent par disparaître (</w:t>
      </w:r>
      <w:proofErr w:type="spellStart"/>
      <w:r w:rsidRPr="00E87CAB">
        <w:rPr>
          <w:rStyle w:val="FontStyle13"/>
          <w:rFonts w:asciiTheme="minorHAnsi" w:hAnsiTheme="minorHAnsi" w:cstheme="minorHAnsi"/>
          <w:sz w:val="22"/>
          <w:szCs w:val="22"/>
          <w:lang w:eastAsia="fr-FR"/>
        </w:rPr>
        <w:t>Figs</w:t>
      </w:r>
      <w:proofErr w:type="spellEnd"/>
      <w:r w:rsidRPr="00E87CAB">
        <w:rPr>
          <w:rStyle w:val="FontStyle13"/>
          <w:rFonts w:asciiTheme="minorHAnsi" w:hAnsiTheme="minorHAnsi" w:cstheme="minorHAnsi"/>
          <w:sz w:val="22"/>
          <w:szCs w:val="22"/>
          <w:lang w:eastAsia="fr-FR"/>
        </w:rPr>
        <w:t xml:space="preserve">. 5 C et 6). L'espace correspondant au blastocèle puis à la vésicule vitelline primitive devient donc la </w:t>
      </w:r>
      <w:r w:rsidRPr="00E87CAB">
        <w:rPr>
          <w:rStyle w:val="FontStyle12"/>
          <w:rFonts w:asciiTheme="minorHAnsi" w:hAnsiTheme="minorHAnsi" w:cstheme="minorHAnsi"/>
          <w:lang w:eastAsia="fr-FR"/>
        </w:rPr>
        <w:t>vésicule vitelline secondaire.</w:t>
      </w:r>
    </w:p>
    <w:p w:rsidR="00E87CAB" w:rsidRPr="00E87CAB" w:rsidRDefault="00E87CAB" w:rsidP="00E87CAB">
      <w:pPr>
        <w:spacing w:after="0"/>
        <w:jc w:val="both"/>
        <w:rPr>
          <w:rStyle w:val="FontStyle13"/>
          <w:rFonts w:asciiTheme="minorHAnsi" w:hAnsiTheme="minorHAnsi" w:cstheme="minorHAnsi"/>
          <w:sz w:val="22"/>
          <w:szCs w:val="22"/>
          <w:lang w:eastAsia="fr-FR"/>
        </w:rPr>
      </w:pPr>
      <w:r w:rsidRPr="00E87CAB">
        <w:rPr>
          <w:rStyle w:val="FontStyle13"/>
          <w:rFonts w:asciiTheme="minorHAnsi" w:hAnsiTheme="minorHAnsi" w:cstheme="minorHAnsi"/>
          <w:sz w:val="22"/>
          <w:szCs w:val="22"/>
          <w:lang w:eastAsia="fr-FR"/>
        </w:rPr>
        <w:t>Au cours de la quatrième semaine, cette dernière cavité représente une structure non négligeable de l'embryon, à laquelle plusieurs fonctions importantes et précoces sont dévolues. Le mésoblaste extra-embryonnaire, formant le feuillet externe de la paroi de la vésicule vitelline, est un site majeur de l</w:t>
      </w:r>
      <w:r w:rsidRPr="00E87CAB">
        <w:rPr>
          <w:rStyle w:val="FontStyle12"/>
          <w:rFonts w:asciiTheme="minorHAnsi" w:hAnsiTheme="minorHAnsi" w:cstheme="minorHAnsi"/>
          <w:lang w:eastAsia="fr-FR"/>
        </w:rPr>
        <w:t xml:space="preserve">'hématopoïèse </w:t>
      </w:r>
      <w:r w:rsidRPr="00E87CAB">
        <w:rPr>
          <w:rStyle w:val="FontStyle13"/>
          <w:rFonts w:asciiTheme="minorHAnsi" w:hAnsiTheme="minorHAnsi" w:cstheme="minorHAnsi"/>
          <w:sz w:val="22"/>
          <w:szCs w:val="22"/>
          <w:lang w:eastAsia="fr-FR"/>
        </w:rPr>
        <w:t xml:space="preserve">(formation du sang) et l'entoblaste qui tapisse cette même paroi peut produire des protéines sériques. La vésicule vitelline secondaire peut également jouer un rôle limité dans le métabolisme nutritif de l'embryon. Comme décrit dans le premier chapitre, </w:t>
      </w:r>
      <w:r w:rsidRPr="00E87CAB">
        <w:rPr>
          <w:rStyle w:val="FontStyle13"/>
          <w:rFonts w:asciiTheme="minorHAnsi" w:hAnsiTheme="minorHAnsi" w:cstheme="minorHAnsi"/>
          <w:spacing w:val="30"/>
          <w:sz w:val="22"/>
          <w:szCs w:val="22"/>
          <w:lang w:eastAsia="fr-FR"/>
        </w:rPr>
        <w:t>l'</w:t>
      </w:r>
      <w:r w:rsidRPr="00E87CAB">
        <w:rPr>
          <w:rStyle w:val="FontStyle13"/>
          <w:rFonts w:asciiTheme="minorHAnsi" w:hAnsiTheme="minorHAnsi" w:cstheme="minorHAnsi"/>
          <w:sz w:val="22"/>
          <w:szCs w:val="22"/>
          <w:lang w:eastAsia="fr-FR"/>
        </w:rPr>
        <w:t>entoblaste de la vésicule vitelline est également à l'origine des cellules germinales destinées à coloniser les gonades en formation. Après la quatrième semaine, la vésicule vitelline est rapidement envahie par le disque embryonnaire en croissance. Elle disparaît normalement avant la naissance mais elle peut exceptionnellement persister sous la forme d'une anomalie du tube digestif appelée diverticule de Meckel.</w:t>
      </w:r>
    </w:p>
    <w:p w:rsidR="00E87CAB" w:rsidRDefault="00E87CAB" w:rsidP="006276FA">
      <w:pPr>
        <w:spacing w:after="0"/>
      </w:pPr>
    </w:p>
    <w:p w:rsidR="00E87CAB" w:rsidRDefault="00E87CAB" w:rsidP="006276FA">
      <w:pPr>
        <w:spacing w:after="0"/>
      </w:pPr>
    </w:p>
    <w:p w:rsidR="00E87CAB" w:rsidRDefault="00E87CAB" w:rsidP="006276FA">
      <w:pPr>
        <w:spacing w:after="0"/>
      </w:pPr>
      <w:r>
        <w:t>xxxxxxxxxxxxxxxxxxxxxxxxxxxxxxxxxxxxxxxxxxxxxxxxxxxxxxxxxxxxxxxxxxxxxxxxxxxxxxxxxxxxxxx</w:t>
      </w:r>
    </w:p>
    <w:p w:rsidR="00E87CAB" w:rsidRDefault="00E87CAB" w:rsidP="006276FA">
      <w:pPr>
        <w:spacing w:after="0"/>
      </w:pPr>
    </w:p>
    <w:p w:rsidR="00E87CAB" w:rsidRDefault="00E87CAB" w:rsidP="006276FA">
      <w:pPr>
        <w:spacing w:after="0"/>
      </w:pPr>
    </w:p>
    <w:p w:rsidR="006276FA" w:rsidRDefault="006276FA" w:rsidP="006276FA">
      <w:pPr>
        <w:spacing w:after="0"/>
      </w:pPr>
      <w:r>
        <w:lastRenderedPageBreak/>
        <w:t>Durant la 1</w:t>
      </w:r>
      <w:r w:rsidRPr="00F272B3">
        <w:rPr>
          <w:vertAlign w:val="superscript"/>
        </w:rPr>
        <w:t>e</w:t>
      </w:r>
      <w:r>
        <w:t xml:space="preserve"> semaine :</w:t>
      </w:r>
    </w:p>
    <w:p w:rsidR="006276FA" w:rsidRDefault="006276FA" w:rsidP="006276FA">
      <w:pPr>
        <w:pStyle w:val="Paragraphedeliste"/>
        <w:numPr>
          <w:ilvl w:val="0"/>
          <w:numId w:val="2"/>
        </w:numPr>
        <w:spacing w:after="0"/>
      </w:pPr>
      <w:r>
        <w:t>Insémination (placement des spermatozoïdes dans le vagin)</w:t>
      </w:r>
    </w:p>
    <w:p w:rsidR="006276FA" w:rsidRDefault="006276FA" w:rsidP="006276FA">
      <w:pPr>
        <w:pStyle w:val="Paragraphedeliste"/>
        <w:numPr>
          <w:ilvl w:val="0"/>
          <w:numId w:val="2"/>
        </w:numPr>
        <w:spacing w:after="0"/>
      </w:pPr>
      <w:r>
        <w:t>Capacitation (préparation de l’acrosome des spermatozoïdes pour pénétrer l’ovocyte ; dans les voies génitales féminines). Pour la fécondation in vitro, on doit faire la capacitation</w:t>
      </w:r>
    </w:p>
    <w:p w:rsidR="006276FA" w:rsidRDefault="006276FA" w:rsidP="006276FA">
      <w:pPr>
        <w:pStyle w:val="Paragraphedeliste"/>
        <w:numPr>
          <w:ilvl w:val="0"/>
          <w:numId w:val="2"/>
        </w:numPr>
        <w:spacing w:after="0"/>
      </w:pPr>
      <w:r>
        <w:t>Fécondation (dans le tiers latéral de la trompe utérine)</w:t>
      </w:r>
    </w:p>
    <w:p w:rsidR="006276FA" w:rsidRDefault="006276FA" w:rsidP="006276FA">
      <w:pPr>
        <w:pStyle w:val="Paragraphedeliste"/>
        <w:numPr>
          <w:ilvl w:val="0"/>
          <w:numId w:val="2"/>
        </w:numPr>
        <w:spacing w:after="0"/>
      </w:pPr>
      <w:r>
        <w:t>Segmentation (division de la cellule œuf)</w:t>
      </w:r>
    </w:p>
    <w:p w:rsidR="006276FA" w:rsidRDefault="006276FA" w:rsidP="006276FA">
      <w:pPr>
        <w:pStyle w:val="Paragraphedeliste"/>
        <w:numPr>
          <w:ilvl w:val="0"/>
          <w:numId w:val="2"/>
        </w:numPr>
        <w:spacing w:after="0"/>
      </w:pPr>
      <w:r>
        <w:t>Migration (déplacement de l’œuf jusqu’à l’utérus)</w:t>
      </w:r>
    </w:p>
    <w:p w:rsidR="006276FA" w:rsidRDefault="006276FA" w:rsidP="006276FA">
      <w:pPr>
        <w:pStyle w:val="Paragraphedeliste"/>
        <w:numPr>
          <w:ilvl w:val="0"/>
          <w:numId w:val="2"/>
        </w:numPr>
        <w:spacing w:after="0"/>
      </w:pPr>
      <w:r>
        <w:t>Commencement de la nidation (fixation à l’endomètre)</w:t>
      </w:r>
    </w:p>
    <w:p w:rsidR="006276FA" w:rsidRDefault="006276FA" w:rsidP="006276FA">
      <w:pPr>
        <w:spacing w:after="0"/>
      </w:pPr>
    </w:p>
    <w:p w:rsidR="006276FA" w:rsidRDefault="006276FA" w:rsidP="006276FA">
      <w:pPr>
        <w:spacing w:after="0"/>
      </w:pPr>
      <w:r>
        <w:t xml:space="preserve">Pendant l’ovulation, l’ovocyte est expulsé à la surface de l’ovaire avec le cumulus oophorus. </w:t>
      </w:r>
    </w:p>
    <w:p w:rsidR="006276FA" w:rsidRDefault="006276FA" w:rsidP="006276FA">
      <w:pPr>
        <w:spacing w:after="0"/>
      </w:pPr>
      <w:r>
        <w:t>Le spermatozoïde ne pénètre que sa tête, et le cumulus oophorus va sécréter une substance empêchant d’autres spermatozoïdes de féconder l’ovule, et donc rend la membrane pellucide imperméable. La tête du spermatozoïde augmente de volume et se transforme en pronucléus mâle.</w:t>
      </w:r>
    </w:p>
    <w:p w:rsidR="006276FA" w:rsidRDefault="006276FA" w:rsidP="006276FA">
      <w:pPr>
        <w:spacing w:after="0"/>
      </w:pPr>
      <w:r>
        <w:t>L’ovocyte a fini la deuxième division méiotique et se transforme en pronucléus femelle.</w:t>
      </w:r>
    </w:p>
    <w:p w:rsidR="006276FA" w:rsidRDefault="006276FA" w:rsidP="006276FA">
      <w:pPr>
        <w:spacing w:after="0"/>
      </w:pPr>
      <w:r>
        <w:t xml:space="preserve">L’union des deux pronucléi s’appelle amphimixie. </w:t>
      </w:r>
    </w:p>
    <w:p w:rsidR="006276FA" w:rsidRDefault="006276FA" w:rsidP="006276FA">
      <w:pPr>
        <w:spacing w:after="0"/>
      </w:pPr>
      <w:r>
        <w:rPr>
          <w:u w:val="single"/>
        </w:rPr>
        <w:t>Conséquence de la fécondation</w:t>
      </w:r>
      <w:r>
        <w:t> :</w:t>
      </w:r>
    </w:p>
    <w:p w:rsidR="006276FA" w:rsidRDefault="006276FA" w:rsidP="006276FA">
      <w:pPr>
        <w:pStyle w:val="Paragraphedeliste"/>
        <w:numPr>
          <w:ilvl w:val="0"/>
          <w:numId w:val="1"/>
        </w:numPr>
        <w:spacing w:after="0"/>
      </w:pPr>
      <w:r>
        <w:t>Rétablissement de la diploïdie</w:t>
      </w:r>
    </w:p>
    <w:p w:rsidR="006276FA" w:rsidRDefault="006276FA" w:rsidP="006276FA">
      <w:pPr>
        <w:pStyle w:val="Paragraphedeliste"/>
        <w:numPr>
          <w:ilvl w:val="0"/>
          <w:numId w:val="1"/>
        </w:numPr>
        <w:spacing w:after="0"/>
      </w:pPr>
      <w:r>
        <w:t>Etablissement du sexe génétique</w:t>
      </w:r>
    </w:p>
    <w:p w:rsidR="006276FA" w:rsidRDefault="006276FA" w:rsidP="006276FA">
      <w:pPr>
        <w:spacing w:after="0"/>
      </w:pPr>
    </w:p>
    <w:p w:rsidR="006276FA" w:rsidRDefault="006276FA" w:rsidP="006276FA">
      <w:pPr>
        <w:spacing w:after="0"/>
      </w:pPr>
      <w:r>
        <w:t xml:space="preserve">La nidation se fait dans les ¾ supérieurs de l’utérus, en conditions normales. Si l’implantation se fait en bas de l’utérus, le placenta va se développer devant le fœtus « placenta </w:t>
      </w:r>
      <w:proofErr w:type="spellStart"/>
      <w:r>
        <w:t>previa</w:t>
      </w:r>
      <w:proofErr w:type="spellEnd"/>
      <w:r>
        <w:t> ».</w:t>
      </w:r>
    </w:p>
    <w:p w:rsidR="006276FA" w:rsidRDefault="006276FA" w:rsidP="006276FA">
      <w:pPr>
        <w:spacing w:after="0"/>
      </w:pPr>
      <w:r>
        <w:rPr>
          <w:noProof/>
          <w:lang w:eastAsia="fr-FR"/>
        </w:rPr>
        <w:drawing>
          <wp:anchor distT="0" distB="0" distL="114300" distR="114300" simplePos="0" relativeHeight="251659264" behindDoc="0" locked="0" layoutInCell="1" allowOverlap="1">
            <wp:simplePos x="0" y="0"/>
            <wp:positionH relativeFrom="column">
              <wp:posOffset>2843530</wp:posOffset>
            </wp:positionH>
            <wp:positionV relativeFrom="paragraph">
              <wp:posOffset>132080</wp:posOffset>
            </wp:positionV>
            <wp:extent cx="1695450" cy="1123950"/>
            <wp:effectExtent l="19050" t="0" r="0" b="0"/>
            <wp:wrapSquare wrapText="bothSides"/>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695450" cy="1123950"/>
                    </a:xfrm>
                    <a:prstGeom prst="rect">
                      <a:avLst/>
                    </a:prstGeom>
                    <a:noFill/>
                    <a:ln w="9525">
                      <a:noFill/>
                      <a:miter lim="800000"/>
                      <a:headEnd/>
                      <a:tailEnd/>
                    </a:ln>
                  </pic:spPr>
                </pic:pic>
              </a:graphicData>
            </a:graphic>
          </wp:anchor>
        </w:drawing>
      </w:r>
      <w:r w:rsidRPr="00347D9F">
        <w:rPr>
          <w:noProof/>
          <w:lang w:eastAsia="fr-FR"/>
        </w:rPr>
        <w:drawing>
          <wp:inline distT="0" distB="0" distL="0" distR="0">
            <wp:extent cx="2828925" cy="1885950"/>
            <wp:effectExtent l="19050" t="0" r="9525"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828925" cy="1885950"/>
                    </a:xfrm>
                    <a:prstGeom prst="rect">
                      <a:avLst/>
                    </a:prstGeom>
                    <a:noFill/>
                    <a:ln w="9525">
                      <a:noFill/>
                      <a:miter lim="800000"/>
                      <a:headEnd/>
                      <a:tailEnd/>
                    </a:ln>
                  </pic:spPr>
                </pic:pic>
              </a:graphicData>
            </a:graphic>
          </wp:inline>
        </w:drawing>
      </w:r>
    </w:p>
    <w:p w:rsidR="006276FA" w:rsidRDefault="006276FA" w:rsidP="006276FA">
      <w:pPr>
        <w:spacing w:after="0"/>
      </w:pPr>
      <w:r>
        <w:t>Pendant la première semaine, l’embryon (qui n’a pas besoin de beaucoup de nourriture) se nourrit par diffusion simple.</w:t>
      </w:r>
    </w:p>
    <w:p w:rsidR="006276FA" w:rsidRDefault="006276FA" w:rsidP="006276FA">
      <w:pPr>
        <w:spacing w:after="0"/>
      </w:pPr>
      <w:r>
        <w:t>Après la deuxième semaines, quand l’embryon augmente rapidement de volume, on a besoin d’un système qui apporte les gaz (respiratoires) et les éléments nutritifs.</w:t>
      </w:r>
    </w:p>
    <w:p w:rsidR="006276FA" w:rsidRDefault="006276FA" w:rsidP="006276FA">
      <w:pPr>
        <w:spacing w:after="0"/>
      </w:pPr>
      <w:r>
        <w:t>A la fin de la première semaine, on a le trophoblaste et l’épiblaste (embryoblaste).</w:t>
      </w:r>
    </w:p>
    <w:p w:rsidR="006276FA" w:rsidRDefault="006276FA" w:rsidP="006276FA">
      <w:pPr>
        <w:spacing w:after="0"/>
      </w:pPr>
    </w:p>
    <w:p w:rsidR="006276FA" w:rsidRDefault="006276FA" w:rsidP="006276FA">
      <w:pPr>
        <w:spacing w:after="0"/>
      </w:pPr>
      <w:r>
        <w:t>Plus tard, le trophoblaste donne le syncitiotrophoblaste (</w:t>
      </w:r>
      <w:proofErr w:type="spellStart"/>
      <w:r>
        <w:t>syncitium</w:t>
      </w:r>
      <w:proofErr w:type="spellEnd"/>
      <w:r>
        <w:t> : ensemble de cellules sans démarcation précise), et le cytotrophoblaste.</w:t>
      </w:r>
    </w:p>
    <w:p w:rsidR="006276FA" w:rsidRDefault="006276FA" w:rsidP="006276FA">
      <w:pPr>
        <w:spacing w:after="0"/>
      </w:pPr>
    </w:p>
    <w:p w:rsidR="006276FA" w:rsidRDefault="006276FA" w:rsidP="008B4BC3">
      <w:pPr>
        <w:spacing w:after="0"/>
      </w:pPr>
      <w:r>
        <w:t>L’embryon est entouré par les capillaires maternels (il est baigné dans le sang de la mère)</w:t>
      </w:r>
      <w:r w:rsidR="008B4BC3">
        <w:t>.</w:t>
      </w:r>
    </w:p>
    <w:p w:rsidR="008B4BC3" w:rsidRDefault="008B4BC3" w:rsidP="008B4BC3">
      <w:pPr>
        <w:spacing w:after="0"/>
      </w:pPr>
      <w:r>
        <w:t>A J9, développement du réseau capillaire (villosités primaire : formées par la ST et le CT ; et lacunes).</w:t>
      </w:r>
    </w:p>
    <w:p w:rsidR="008B4BC3" w:rsidRDefault="008B4BC3" w:rsidP="008B4BC3">
      <w:pPr>
        <w:spacing w:after="0"/>
      </w:pPr>
      <w:r>
        <w:t>«  quelles sont les couches qui forment les villosités primaires, définitives, tertiaires ? »</w:t>
      </w:r>
    </w:p>
    <w:p w:rsidR="008B4BC3" w:rsidRDefault="008B4BC3" w:rsidP="008B4BC3">
      <w:pPr>
        <w:spacing w:after="0"/>
      </w:pPr>
    </w:p>
    <w:p w:rsidR="00663DF7" w:rsidRDefault="00663DF7" w:rsidP="008B4BC3">
      <w:pPr>
        <w:spacing w:after="0"/>
      </w:pPr>
      <w:r>
        <w:lastRenderedPageBreak/>
        <w:t>Dans la 16</w:t>
      </w:r>
      <w:r w:rsidRPr="00663DF7">
        <w:rPr>
          <w:vertAlign w:val="superscript"/>
        </w:rPr>
        <w:t>e</w:t>
      </w:r>
      <w:r>
        <w:t xml:space="preserve"> journée (commencement de la 3</w:t>
      </w:r>
      <w:r w:rsidRPr="00663DF7">
        <w:rPr>
          <w:vertAlign w:val="superscript"/>
        </w:rPr>
        <w:t>e</w:t>
      </w:r>
      <w:r>
        <w:t xml:space="preserve"> semaine)</w:t>
      </w:r>
      <w:r w:rsidR="00DC73E6">
        <w:t>, l</w:t>
      </w:r>
      <w:r>
        <w:t>es villosités primaires se transfo</w:t>
      </w:r>
      <w:r w:rsidR="006A77B9">
        <w:t>rment en villosités définitives : 3 couches : ST, CT, et MEE.</w:t>
      </w:r>
    </w:p>
    <w:p w:rsidR="00DC73E6" w:rsidRDefault="00DC73E6" w:rsidP="008B4BC3">
      <w:pPr>
        <w:spacing w:after="0"/>
      </w:pPr>
    </w:p>
    <w:p w:rsidR="00E70843" w:rsidRDefault="00E70843" w:rsidP="008B4BC3">
      <w:pPr>
        <w:spacing w:after="0"/>
      </w:pPr>
      <w:r>
        <w:t xml:space="preserve"> A la fin de la troisième semaine, les villosités choriales définitives se transforment en tertiaire.</w:t>
      </w:r>
    </w:p>
    <w:p w:rsidR="00E70843" w:rsidRDefault="00E70843" w:rsidP="008B4BC3">
      <w:pPr>
        <w:spacing w:after="0"/>
      </w:pPr>
    </w:p>
    <w:p w:rsidR="00A63CF1" w:rsidRDefault="00A63CF1" w:rsidP="00A63CF1">
      <w:pPr>
        <w:spacing w:after="0"/>
        <w:jc w:val="both"/>
        <w:rPr>
          <w:color w:val="000000" w:themeColor="text1"/>
        </w:rPr>
      </w:pPr>
      <w:r w:rsidRPr="005F3F2E">
        <w:rPr>
          <w:noProof/>
          <w:color w:val="000000" w:themeColor="text1"/>
          <w:lang w:eastAsia="fr-FR"/>
        </w:rPr>
        <w:drawing>
          <wp:inline distT="0" distB="0" distL="0" distR="0">
            <wp:extent cx="4410075" cy="2352675"/>
            <wp:effectExtent l="19050" t="0" r="952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410075" cy="2352675"/>
                    </a:xfrm>
                    <a:prstGeom prst="rect">
                      <a:avLst/>
                    </a:prstGeom>
                    <a:noFill/>
                    <a:ln w="9525">
                      <a:noFill/>
                      <a:miter lim="800000"/>
                      <a:headEnd/>
                      <a:tailEnd/>
                    </a:ln>
                  </pic:spPr>
                </pic:pic>
              </a:graphicData>
            </a:graphic>
          </wp:inline>
        </w:drawing>
      </w:r>
    </w:p>
    <w:p w:rsidR="00A63CF1" w:rsidRDefault="00A63CF1" w:rsidP="00A63CF1">
      <w:pPr>
        <w:spacing w:after="0"/>
        <w:rPr>
          <w:rStyle w:val="ExempleHTML"/>
          <w:rFonts w:eastAsiaTheme="minorHAnsi"/>
        </w:rPr>
      </w:pPr>
      <w:r w:rsidRPr="005B5CC4">
        <w:rPr>
          <w:rStyle w:val="ExempleHTML"/>
          <w:rFonts w:eastAsiaTheme="minorHAnsi"/>
          <w:b/>
          <w:bCs/>
        </w:rPr>
        <w:t>1</w:t>
      </w:r>
      <w:r w:rsidRPr="005B5CC4">
        <w:rPr>
          <w:rStyle w:val="ExempleHTML"/>
          <w:rFonts w:eastAsiaTheme="minorHAnsi"/>
        </w:rPr>
        <w:t xml:space="preserve"> cordon ombilical</w:t>
      </w:r>
      <w:r w:rsidRPr="005B5CC4">
        <w:rPr>
          <w:rFonts w:ascii="Courier New" w:hAnsi="Courier New" w:cs="Courier New"/>
          <w:b/>
          <w:bCs/>
        </w:rPr>
        <w:t xml:space="preserve">      </w:t>
      </w:r>
      <w:r w:rsidRPr="005B5CC4">
        <w:rPr>
          <w:rStyle w:val="ExempleHTML"/>
          <w:rFonts w:eastAsiaTheme="minorHAnsi"/>
          <w:b/>
          <w:bCs/>
        </w:rPr>
        <w:t>2</w:t>
      </w:r>
      <w:r w:rsidRPr="005B5CC4">
        <w:rPr>
          <w:rStyle w:val="ExempleHTML"/>
          <w:rFonts w:eastAsiaTheme="minorHAnsi"/>
        </w:rPr>
        <w:t xml:space="preserve"> amnios</w:t>
      </w:r>
      <w:r w:rsidRPr="005B5CC4">
        <w:rPr>
          <w:rFonts w:ascii="Courier New" w:hAnsi="Courier New" w:cs="Courier New"/>
          <w:b/>
          <w:bCs/>
        </w:rPr>
        <w:t xml:space="preserve">         </w:t>
      </w:r>
      <w:r w:rsidRPr="005B5CC4">
        <w:rPr>
          <w:rStyle w:val="ExempleHTML"/>
          <w:rFonts w:eastAsiaTheme="minorHAnsi"/>
          <w:b/>
          <w:bCs/>
        </w:rPr>
        <w:t>3</w:t>
      </w:r>
      <w:r w:rsidRPr="005B5CC4">
        <w:rPr>
          <w:rStyle w:val="ExempleHTML"/>
          <w:rFonts w:eastAsiaTheme="minorHAnsi"/>
        </w:rPr>
        <w:t xml:space="preserve"> plaque choriale (plafond) </w:t>
      </w:r>
      <w:r w:rsidRPr="005B5CC4">
        <w:rPr>
          <w:rFonts w:ascii="Courier New" w:hAnsi="Courier New" w:cs="Courier New"/>
          <w:b/>
          <w:bCs/>
        </w:rPr>
        <w:br/>
      </w:r>
      <w:r w:rsidRPr="005B5CC4">
        <w:rPr>
          <w:rStyle w:val="ExempleHTML"/>
          <w:rFonts w:eastAsiaTheme="minorHAnsi"/>
          <w:b/>
          <w:bCs/>
        </w:rPr>
        <w:t>4</w:t>
      </w:r>
      <w:r w:rsidRPr="005B5CC4">
        <w:rPr>
          <w:rStyle w:val="ExempleHTML"/>
          <w:rFonts w:eastAsiaTheme="minorHAnsi"/>
        </w:rPr>
        <w:t xml:space="preserve"> chambre </w:t>
      </w:r>
      <w:proofErr w:type="spellStart"/>
      <w:r w:rsidRPr="005B5CC4">
        <w:rPr>
          <w:rStyle w:val="ExempleHTML"/>
          <w:rFonts w:eastAsiaTheme="minorHAnsi"/>
        </w:rPr>
        <w:t>intervilleuse</w:t>
      </w:r>
      <w:proofErr w:type="spellEnd"/>
      <w:r w:rsidRPr="005B5CC4">
        <w:rPr>
          <w:rStyle w:val="ExempleHTML"/>
          <w:rFonts w:eastAsiaTheme="minorHAnsi"/>
        </w:rPr>
        <w:t xml:space="preserve"> (sang maternel) </w:t>
      </w:r>
      <w:r w:rsidRPr="005B5CC4">
        <w:rPr>
          <w:rFonts w:ascii="Courier New" w:hAnsi="Courier New" w:cs="Courier New"/>
          <w:b/>
          <w:bCs/>
        </w:rPr>
        <w:t xml:space="preserve"> </w:t>
      </w:r>
      <w:r w:rsidRPr="005B5CC4">
        <w:rPr>
          <w:rStyle w:val="ExempleHTML"/>
          <w:rFonts w:eastAsiaTheme="minorHAnsi"/>
          <w:b/>
          <w:bCs/>
        </w:rPr>
        <w:t>5</w:t>
      </w:r>
      <w:r w:rsidRPr="005B5CC4">
        <w:rPr>
          <w:rStyle w:val="ExempleHTML"/>
          <w:rFonts w:eastAsiaTheme="minorHAnsi"/>
        </w:rPr>
        <w:t xml:space="preserve"> plaque basale (plancher) </w:t>
      </w:r>
      <w:r w:rsidRPr="005B5CC4">
        <w:rPr>
          <w:rFonts w:ascii="Courier New" w:hAnsi="Courier New" w:cs="Courier New"/>
          <w:b/>
          <w:bCs/>
        </w:rPr>
        <w:br/>
      </w:r>
      <w:r w:rsidRPr="005B5CC4">
        <w:rPr>
          <w:rStyle w:val="ExempleHTML"/>
          <w:rFonts w:eastAsiaTheme="minorHAnsi"/>
          <w:b/>
          <w:bCs/>
        </w:rPr>
        <w:t>6</w:t>
      </w:r>
      <w:r w:rsidRPr="005B5CC4">
        <w:rPr>
          <w:rStyle w:val="ExempleHTML"/>
          <w:rFonts w:eastAsiaTheme="minorHAnsi"/>
        </w:rPr>
        <w:t xml:space="preserve"> cotylédon</w:t>
      </w:r>
      <w:r w:rsidRPr="005B5CC4">
        <w:rPr>
          <w:rFonts w:ascii="Courier New" w:hAnsi="Courier New" w:cs="Courier New"/>
          <w:b/>
          <w:bCs/>
        </w:rPr>
        <w:t xml:space="preserve">             </w:t>
      </w:r>
      <w:r w:rsidRPr="005B5CC4">
        <w:rPr>
          <w:rStyle w:val="ExempleHTML"/>
          <w:rFonts w:eastAsiaTheme="minorHAnsi"/>
          <w:b/>
          <w:bCs/>
        </w:rPr>
        <w:t>7</w:t>
      </w:r>
      <w:r>
        <w:t xml:space="preserve"> </w:t>
      </w:r>
      <w:r w:rsidRPr="005B5CC4">
        <w:rPr>
          <w:rStyle w:val="ExempleHTML"/>
          <w:rFonts w:eastAsiaTheme="minorHAnsi"/>
        </w:rPr>
        <w:t>villosité</w:t>
      </w:r>
    </w:p>
    <w:p w:rsidR="006A77B9" w:rsidRDefault="006A77B9" w:rsidP="008B4BC3">
      <w:pPr>
        <w:spacing w:after="0"/>
      </w:pPr>
    </w:p>
    <w:p w:rsidR="00A63CF1" w:rsidRDefault="00A63CF1" w:rsidP="008B4BC3">
      <w:pPr>
        <w:spacing w:after="0"/>
      </w:pPr>
      <w:r>
        <w:t>4 couches : les substances nutritives et les gaz doivent parcourir 4 couches (entre la mère et le fœtus et dans le sens inverse, entre le fœtus et la mère).</w:t>
      </w:r>
    </w:p>
    <w:p w:rsidR="00A63CF1" w:rsidRDefault="00A63CF1" w:rsidP="008B4BC3">
      <w:pPr>
        <w:spacing w:after="0"/>
      </w:pPr>
      <w:r>
        <w:t>La mère fournit les éléments nutritifs et reçoit les déchets du fœtus.</w:t>
      </w:r>
    </w:p>
    <w:p w:rsidR="00A63CF1" w:rsidRDefault="00A63CF1" w:rsidP="008B4BC3">
      <w:pPr>
        <w:spacing w:after="0"/>
      </w:pPr>
    </w:p>
    <w:p w:rsidR="00A63CF1" w:rsidRDefault="00823730" w:rsidP="008B4BC3">
      <w:pPr>
        <w:spacing w:after="0"/>
      </w:pPr>
      <w:r>
        <w:t xml:space="preserve">Variole, </w:t>
      </w:r>
      <w:proofErr w:type="spellStart"/>
      <w:r>
        <w:t>rougeoble</w:t>
      </w:r>
      <w:proofErr w:type="spellEnd"/>
      <w:r>
        <w:t>, tréponème pâle.</w:t>
      </w:r>
    </w:p>
    <w:p w:rsidR="00823730" w:rsidRDefault="00823730" w:rsidP="008B4BC3">
      <w:pPr>
        <w:spacing w:after="0"/>
      </w:pPr>
    </w:p>
    <w:p w:rsidR="00663DF7" w:rsidRDefault="00663DF7" w:rsidP="008B4BC3">
      <w:pPr>
        <w:spacing w:after="0"/>
      </w:pPr>
    </w:p>
    <w:p w:rsidR="00BD4F90" w:rsidRDefault="00BD4F90" w:rsidP="008B4BC3">
      <w:pPr>
        <w:spacing w:after="0"/>
      </w:pPr>
    </w:p>
    <w:sectPr w:rsidR="00BD4F90" w:rsidSect="006D57C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FC1DA8"/>
    <w:multiLevelType w:val="hybridMultilevel"/>
    <w:tmpl w:val="EBC209D2"/>
    <w:lvl w:ilvl="0" w:tplc="3F88B9F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76F72308"/>
    <w:multiLevelType w:val="hybridMultilevel"/>
    <w:tmpl w:val="12B06EE6"/>
    <w:lvl w:ilvl="0" w:tplc="E9586B0C">
      <w:numFmt w:val="bullet"/>
      <w:lvlText w:val=""/>
      <w:lvlJc w:val="left"/>
      <w:pPr>
        <w:ind w:left="1080" w:hanging="360"/>
      </w:pPr>
      <w:rPr>
        <w:rFonts w:ascii="Symbol" w:eastAsiaTheme="minorHAnsi"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6276FA"/>
    <w:rsid w:val="00186C62"/>
    <w:rsid w:val="006276FA"/>
    <w:rsid w:val="00663DF7"/>
    <w:rsid w:val="006A77B9"/>
    <w:rsid w:val="006D57C7"/>
    <w:rsid w:val="007009B4"/>
    <w:rsid w:val="00823730"/>
    <w:rsid w:val="008B4BC3"/>
    <w:rsid w:val="00A63CF1"/>
    <w:rsid w:val="00BD4F90"/>
    <w:rsid w:val="00DC73E6"/>
    <w:rsid w:val="00E70843"/>
    <w:rsid w:val="00E87CA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6F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276FA"/>
    <w:pPr>
      <w:ind w:left="720"/>
      <w:contextualSpacing/>
    </w:pPr>
  </w:style>
  <w:style w:type="paragraph" w:styleId="Textedebulles">
    <w:name w:val="Balloon Text"/>
    <w:basedOn w:val="Normal"/>
    <w:link w:val="TextedebullesCar"/>
    <w:uiPriority w:val="99"/>
    <w:semiHidden/>
    <w:unhideWhenUsed/>
    <w:rsid w:val="006276F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276FA"/>
    <w:rPr>
      <w:rFonts w:ascii="Tahoma" w:hAnsi="Tahoma" w:cs="Tahoma"/>
      <w:sz w:val="16"/>
      <w:szCs w:val="16"/>
    </w:rPr>
  </w:style>
  <w:style w:type="character" w:styleId="ExempleHTML">
    <w:name w:val="HTML Sample"/>
    <w:basedOn w:val="Policepardfaut"/>
    <w:uiPriority w:val="99"/>
    <w:semiHidden/>
    <w:unhideWhenUsed/>
    <w:rsid w:val="00A63CF1"/>
    <w:rPr>
      <w:rFonts w:ascii="Courier New" w:eastAsia="Times New Roman" w:hAnsi="Courier New" w:cs="Courier New"/>
    </w:rPr>
  </w:style>
  <w:style w:type="character" w:customStyle="1" w:styleId="FontStyle12">
    <w:name w:val="Font Style12"/>
    <w:basedOn w:val="Policepardfaut"/>
    <w:rsid w:val="00E87CAB"/>
    <w:rPr>
      <w:rFonts w:ascii="Times New Roman" w:hAnsi="Times New Roman" w:cs="Times New Roman"/>
      <w:b/>
      <w:bCs/>
      <w:sz w:val="22"/>
      <w:szCs w:val="22"/>
    </w:rPr>
  </w:style>
  <w:style w:type="character" w:customStyle="1" w:styleId="FontStyle13">
    <w:name w:val="Font Style13"/>
    <w:basedOn w:val="Policepardfaut"/>
    <w:rsid w:val="00E87CAB"/>
    <w:rPr>
      <w:rFonts w:ascii="Times New Roman" w:hAnsi="Times New Roman" w:cs="Times New Roman"/>
      <w:sz w:val="18"/>
      <w:szCs w:val="18"/>
    </w:rPr>
  </w:style>
  <w:style w:type="character" w:customStyle="1" w:styleId="FontStyle14">
    <w:name w:val="Font Style14"/>
    <w:basedOn w:val="Policepardfaut"/>
    <w:rsid w:val="00E87CAB"/>
    <w:rPr>
      <w:rFonts w:ascii="Times New Roman" w:hAnsi="Times New Roman" w:cs="Times New Roman"/>
      <w:b/>
      <w:bCs/>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1737</Words>
  <Characters>9558</Characters>
  <Application>Microsoft Office Word</Application>
  <DocSecurity>0</DocSecurity>
  <Lines>79</Lines>
  <Paragraphs>22</Paragraphs>
  <ScaleCrop>false</ScaleCrop>
  <Company/>
  <LinksUpToDate>false</LinksUpToDate>
  <CharactersWithSpaces>11273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13</cp:revision>
  <dcterms:created xsi:type="dcterms:W3CDTF">2010-10-11T13:44:00Z</dcterms:created>
  <dcterms:modified xsi:type="dcterms:W3CDTF">2010-10-18T11:58:00Z</dcterms:modified>
</cp:coreProperties>
</file>